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24"/>
        </w:rPr>
      </w:pPr>
      <w:r>
        <w:rPr>
          <w:rFonts w:hint="eastAsia"/>
          <w:sz w:val="24"/>
        </w:rPr>
        <w:t>疫情背景下基础日语</w:t>
      </w:r>
      <w:r>
        <w:rPr>
          <w:rFonts w:ascii="Times New Roman" w:hAnsi="Times New Roman" w:cs="Times New Roman"/>
          <w:sz w:val="24"/>
        </w:rPr>
        <w:t>（2）</w:t>
      </w:r>
      <w:r>
        <w:rPr>
          <w:rFonts w:hint="eastAsia"/>
          <w:sz w:val="24"/>
        </w:rPr>
        <w:t>课程在线教学案例分析</w:t>
      </w:r>
    </w:p>
    <w:p>
      <w:pPr>
        <w:jc w:val="center"/>
        <w:rPr>
          <w:sz w:val="24"/>
        </w:rPr>
      </w:pPr>
      <w:r>
        <w:rPr>
          <w:rFonts w:hint="eastAsia"/>
          <w:sz w:val="24"/>
        </w:rPr>
        <w:t>吴漪</w:t>
      </w:r>
    </w:p>
    <w:p>
      <w:pPr>
        <w:rPr>
          <w:sz w:val="24"/>
        </w:rPr>
      </w:pPr>
    </w:p>
    <w:p>
      <w:pPr>
        <w:ind w:firstLine="480" w:firstLineChars="200"/>
        <w:rPr>
          <w:sz w:val="24"/>
        </w:rPr>
      </w:pPr>
      <w:r>
        <w:rPr>
          <w:rFonts w:hint="eastAsia"/>
          <w:sz w:val="24"/>
        </w:rPr>
        <w:t>新型冠状病毒大背景下，根据广东省教育厅“开学不返校，停课不停学”要求，广东外语外贸大学南国商学院于</w:t>
      </w:r>
      <w:r>
        <w:rPr>
          <w:rFonts w:ascii="Times New Roman" w:hAnsi="Times New Roman" w:cs="Times New Roman"/>
          <w:sz w:val="24"/>
        </w:rPr>
        <w:t>3</w:t>
      </w:r>
      <w:r>
        <w:rPr>
          <w:rFonts w:hint="eastAsia"/>
          <w:sz w:val="24"/>
        </w:rPr>
        <w:t>月</w:t>
      </w:r>
      <w:r>
        <w:rPr>
          <w:rFonts w:ascii="Times New Roman" w:hAnsi="Times New Roman" w:cs="Times New Roman"/>
          <w:sz w:val="24"/>
        </w:rPr>
        <w:t>16</w:t>
      </w:r>
      <w:r>
        <w:rPr>
          <w:rFonts w:hint="eastAsia"/>
          <w:sz w:val="24"/>
        </w:rPr>
        <w:t>日正式开展线上教学。学校、各单位、各专业积极响应，着手准备，时至今日，在线教学已达</w:t>
      </w:r>
      <w:r>
        <w:rPr>
          <w:rFonts w:ascii="Times New Roman" w:hAnsi="Times New Roman" w:cs="Times New Roman"/>
          <w:sz w:val="24"/>
        </w:rPr>
        <w:t>4</w:t>
      </w:r>
      <w:r>
        <w:rPr>
          <w:rFonts w:hint="eastAsia"/>
          <w:sz w:val="24"/>
        </w:rPr>
        <w:t>星期有余。以下我将对自己的在线教学从在线教学情况概述、在线教学设计和组织以及在线教学成效和教学反思等方面进行分析和总结。</w:t>
      </w:r>
    </w:p>
    <w:p>
      <w:pPr>
        <w:rPr>
          <w:sz w:val="24"/>
        </w:rPr>
      </w:pPr>
      <w:r>
        <w:rPr>
          <w:rFonts w:ascii="Times New Roman" w:hAnsi="Times New Roman" w:cs="Times New Roman"/>
          <w:sz w:val="24"/>
        </w:rPr>
        <w:t>1</w:t>
      </w:r>
      <w:r>
        <w:rPr>
          <w:rFonts w:hint="eastAsia"/>
          <w:sz w:val="24"/>
        </w:rPr>
        <w:t>在线教学情况概述</w:t>
      </w:r>
    </w:p>
    <w:p>
      <w:pPr>
        <w:ind w:firstLine="480" w:firstLineChars="200"/>
        <w:rPr>
          <w:sz w:val="24"/>
        </w:rPr>
      </w:pPr>
      <w:r>
        <w:rPr>
          <w:rFonts w:hint="eastAsia"/>
          <w:sz w:val="24"/>
        </w:rPr>
        <w:t>本学期授课课程为</w:t>
      </w:r>
      <w:r>
        <w:rPr>
          <w:rFonts w:hint="eastAsia"/>
          <w:sz w:val="24"/>
          <w:lang w:eastAsia="zh-CN"/>
        </w:rPr>
        <w:t>《</w:t>
      </w:r>
      <w:r>
        <w:rPr>
          <w:rFonts w:hint="eastAsia"/>
          <w:sz w:val="24"/>
        </w:rPr>
        <w:t>基础日语</w:t>
      </w:r>
      <w:r>
        <w:rPr>
          <w:rFonts w:ascii="Times New Roman" w:hAnsi="Times New Roman" w:cs="Times New Roman"/>
          <w:sz w:val="24"/>
        </w:rPr>
        <w:t>（2）</w:t>
      </w:r>
      <w:r>
        <w:rPr>
          <w:rFonts w:hint="eastAsia"/>
          <w:sz w:val="24"/>
          <w:lang w:eastAsia="zh-CN"/>
        </w:rPr>
        <w:t>》</w:t>
      </w:r>
      <w:r>
        <w:rPr>
          <w:rFonts w:hint="eastAsia"/>
          <w:sz w:val="24"/>
        </w:rPr>
        <w:t>，授课对象是</w:t>
      </w:r>
      <w:r>
        <w:rPr>
          <w:rFonts w:ascii="Times New Roman" w:hAnsi="Times New Roman" w:cs="Times New Roman"/>
          <w:sz w:val="24"/>
        </w:rPr>
        <w:t>2019</w:t>
      </w:r>
      <w:r>
        <w:rPr>
          <w:rFonts w:hint="eastAsia"/>
          <w:sz w:val="24"/>
        </w:rPr>
        <w:t>级日语</w:t>
      </w:r>
      <w:r>
        <w:rPr>
          <w:rFonts w:ascii="Times New Roman" w:hAnsi="Times New Roman" w:cs="Times New Roman"/>
          <w:sz w:val="24"/>
        </w:rPr>
        <w:t>3</w:t>
      </w:r>
      <w:r>
        <w:rPr>
          <w:rFonts w:hint="eastAsia"/>
          <w:sz w:val="24"/>
        </w:rPr>
        <w:t>班全体学生，使用教材是北京大学出版社出版的《综合日语》第一册、第二册。经多平台试验，最终选择主以腾讯课堂直播，辅以腾讯会议讨论、</w:t>
      </w:r>
      <w:r>
        <w:rPr>
          <w:rFonts w:ascii="Times New Roman" w:hAnsi="Times New Roman" w:cs="Times New Roman"/>
          <w:sz w:val="24"/>
        </w:rPr>
        <w:t>QQ</w:t>
      </w:r>
      <w:r>
        <w:rPr>
          <w:rFonts w:hint="eastAsia"/>
          <w:sz w:val="24"/>
        </w:rPr>
        <w:t>群、微信群收发作业、答疑、共享资料的多平台混合式授课模式。旨在以全新的视角，开放的学习环境，使学生能够掌握基础阶段所学语法、极大程度地掌握日语听说读写的能力，日语学习思维。</w:t>
      </w:r>
    </w:p>
    <w:p>
      <w:pPr>
        <w:ind w:firstLine="420" w:firstLineChars="200"/>
        <w:rPr>
          <w:sz w:val="24"/>
        </w:rPr>
      </w:pPr>
      <w:r>
        <w:drawing>
          <wp:inline distT="0" distB="0" distL="114300" distR="114300">
            <wp:extent cx="4075430" cy="2961005"/>
            <wp:effectExtent l="0" t="0" r="8890" b="1079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4075430" cy="2961005"/>
                    </a:xfrm>
                    <a:prstGeom prst="rect">
                      <a:avLst/>
                    </a:prstGeom>
                  </pic:spPr>
                </pic:pic>
              </a:graphicData>
            </a:graphic>
          </wp:inline>
        </w:drawing>
      </w:r>
    </w:p>
    <w:p>
      <w:pPr>
        <w:rPr>
          <w:sz w:val="24"/>
        </w:rPr>
      </w:pPr>
      <w:r>
        <w:rPr>
          <w:rFonts w:ascii="Times New Roman" w:hAnsi="Times New Roman" w:cs="Times New Roman"/>
          <w:sz w:val="24"/>
        </w:rPr>
        <w:t>2</w:t>
      </w:r>
      <w:r>
        <w:rPr>
          <w:rFonts w:hint="eastAsia"/>
          <w:sz w:val="24"/>
        </w:rPr>
        <w:t>在线教学设计与组织</w:t>
      </w:r>
    </w:p>
    <w:p>
      <w:pPr>
        <w:jc w:val="center"/>
        <w:rPr>
          <w:sz w:val="24"/>
        </w:rPr>
      </w:pPr>
      <w:r>
        <w:rPr>
          <w:rFonts w:hint="eastAsia"/>
          <w:sz w:val="24"/>
        </w:rPr>
        <w:t>表</w:t>
      </w:r>
      <w:r>
        <w:rPr>
          <w:rFonts w:ascii="Times New Roman" w:hAnsi="Times New Roman" w:cs="Times New Roman"/>
          <w:sz w:val="24"/>
        </w:rPr>
        <w:t>1</w:t>
      </w:r>
      <w:r>
        <w:rPr>
          <w:rFonts w:hint="eastAsia"/>
          <w:sz w:val="24"/>
        </w:rPr>
        <w:t xml:space="preserve"> 在线教学设计</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2010"/>
        <w:gridCol w:w="5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dxa"/>
          </w:tcPr>
          <w:p>
            <w:pPr>
              <w:rPr>
                <w:sz w:val="24"/>
              </w:rPr>
            </w:pPr>
            <w:r>
              <w:rPr>
                <w:rFonts w:hint="eastAsia"/>
                <w:sz w:val="24"/>
              </w:rPr>
              <w:t>阶段</w:t>
            </w:r>
          </w:p>
        </w:tc>
        <w:tc>
          <w:tcPr>
            <w:tcW w:w="2010" w:type="dxa"/>
          </w:tcPr>
          <w:p>
            <w:pPr>
              <w:rPr>
                <w:sz w:val="24"/>
              </w:rPr>
            </w:pPr>
            <w:r>
              <w:rPr>
                <w:rFonts w:hint="eastAsia"/>
                <w:sz w:val="24"/>
              </w:rPr>
              <w:t>内容</w:t>
            </w:r>
          </w:p>
        </w:tc>
        <w:tc>
          <w:tcPr>
            <w:tcW w:w="5746" w:type="dxa"/>
          </w:tcPr>
          <w:p>
            <w:pPr>
              <w:rPr>
                <w:sz w:val="24"/>
              </w:rPr>
            </w:pPr>
            <w:r>
              <w:rPr>
                <w:rFonts w:hint="eastAsia"/>
                <w:sz w:val="24"/>
              </w:rPr>
              <w:t>具体安排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dxa"/>
            <w:vMerge w:val="restart"/>
          </w:tcPr>
          <w:p>
            <w:pPr>
              <w:rPr>
                <w:sz w:val="24"/>
              </w:rPr>
            </w:pPr>
            <w:r>
              <w:rPr>
                <w:rFonts w:hint="eastAsia"/>
                <w:sz w:val="24"/>
              </w:rPr>
              <w:t>课前</w:t>
            </w:r>
          </w:p>
        </w:tc>
        <w:tc>
          <w:tcPr>
            <w:tcW w:w="2010" w:type="dxa"/>
          </w:tcPr>
          <w:p>
            <w:pPr>
              <w:rPr>
                <w:sz w:val="24"/>
              </w:rPr>
            </w:pPr>
            <w:r>
              <w:rPr>
                <w:rFonts w:hint="eastAsia"/>
                <w:sz w:val="24"/>
              </w:rPr>
              <w:t>学生沟通准备</w:t>
            </w:r>
          </w:p>
        </w:tc>
        <w:tc>
          <w:tcPr>
            <w:tcW w:w="5746" w:type="dxa"/>
          </w:tcPr>
          <w:p>
            <w:pPr>
              <w:rPr>
                <w:sz w:val="24"/>
              </w:rPr>
            </w:pPr>
            <w:r>
              <w:rPr>
                <w:rFonts w:hint="eastAsia"/>
                <w:sz w:val="24"/>
              </w:rPr>
              <w:t>跟学生明确教学目标、课程考核方案、情感沟通，在相关平台发布课程通知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766" w:type="dxa"/>
            <w:vMerge w:val="continue"/>
          </w:tcPr>
          <w:p>
            <w:pPr>
              <w:rPr>
                <w:sz w:val="24"/>
              </w:rPr>
            </w:pPr>
          </w:p>
        </w:tc>
        <w:tc>
          <w:tcPr>
            <w:tcW w:w="2010" w:type="dxa"/>
          </w:tcPr>
          <w:p>
            <w:pPr>
              <w:rPr>
                <w:sz w:val="24"/>
              </w:rPr>
            </w:pPr>
            <w:r>
              <w:rPr>
                <w:rFonts w:hint="eastAsia"/>
                <w:sz w:val="24"/>
              </w:rPr>
              <w:t>备课内容准备</w:t>
            </w:r>
          </w:p>
        </w:tc>
        <w:tc>
          <w:tcPr>
            <w:tcW w:w="5746" w:type="dxa"/>
          </w:tcPr>
          <w:p>
            <w:pPr>
              <w:rPr>
                <w:sz w:val="24"/>
              </w:rPr>
            </w:pPr>
            <w:r>
              <w:rPr>
                <w:rFonts w:hint="eastAsia"/>
                <w:sz w:val="24"/>
              </w:rPr>
              <w:t>更新课件，明确教学内容，课程互动内容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766" w:type="dxa"/>
            <w:vMerge w:val="continue"/>
          </w:tcPr>
          <w:p>
            <w:pPr>
              <w:rPr>
                <w:sz w:val="24"/>
              </w:rPr>
            </w:pPr>
          </w:p>
        </w:tc>
        <w:tc>
          <w:tcPr>
            <w:tcW w:w="2010" w:type="dxa"/>
          </w:tcPr>
          <w:p>
            <w:pPr>
              <w:rPr>
                <w:sz w:val="24"/>
              </w:rPr>
            </w:pPr>
            <w:r>
              <w:rPr>
                <w:rFonts w:hint="eastAsia"/>
                <w:sz w:val="24"/>
              </w:rPr>
              <w:t>课前十分钟准备</w:t>
            </w:r>
          </w:p>
        </w:tc>
        <w:tc>
          <w:tcPr>
            <w:tcW w:w="5746" w:type="dxa"/>
          </w:tcPr>
          <w:p>
            <w:pPr>
              <w:rPr>
                <w:sz w:val="24"/>
              </w:rPr>
            </w:pPr>
            <w:r>
              <w:rPr>
                <w:rFonts w:hint="eastAsia"/>
                <w:sz w:val="24"/>
              </w:rPr>
              <w:t>利用签到时间，播放具体讲授课程单词、课文</w:t>
            </w:r>
            <w:r>
              <w:rPr>
                <w:rFonts w:ascii="Times New Roman" w:hAnsi="Times New Roman" w:cs="Times New Roman"/>
                <w:sz w:val="24"/>
              </w:rPr>
              <w:t>CD</w:t>
            </w:r>
            <w:r>
              <w:rPr>
                <w:rFonts w:hint="eastAsia"/>
                <w:sz w:val="24"/>
              </w:rPr>
              <w:t>、日本文化相关视频和音乐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766" w:type="dxa"/>
            <w:vMerge w:val="restart"/>
          </w:tcPr>
          <w:p>
            <w:pPr>
              <w:rPr>
                <w:sz w:val="24"/>
              </w:rPr>
            </w:pPr>
            <w:r>
              <w:rPr>
                <w:rFonts w:hint="eastAsia"/>
                <w:sz w:val="24"/>
              </w:rPr>
              <w:t>课中</w:t>
            </w:r>
          </w:p>
        </w:tc>
        <w:tc>
          <w:tcPr>
            <w:tcW w:w="2010" w:type="dxa"/>
          </w:tcPr>
          <w:p>
            <w:pPr>
              <w:rPr>
                <w:sz w:val="24"/>
              </w:rPr>
            </w:pPr>
            <w:r>
              <w:rPr>
                <w:rFonts w:hint="eastAsia"/>
                <w:sz w:val="24"/>
              </w:rPr>
              <w:t>知识讲授</w:t>
            </w:r>
          </w:p>
        </w:tc>
        <w:tc>
          <w:tcPr>
            <w:tcW w:w="5746" w:type="dxa"/>
          </w:tcPr>
          <w:p>
            <w:pPr>
              <w:rPr>
                <w:sz w:val="24"/>
              </w:rPr>
            </w:pPr>
            <w:r>
              <w:rPr>
                <w:rFonts w:hint="eastAsia"/>
                <w:sz w:val="24"/>
              </w:rPr>
              <w:t>知识讲授以单词、语法、课文为基础，注意单词的扩展，语法重难点、系统性，课文理解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766" w:type="dxa"/>
            <w:vMerge w:val="continue"/>
          </w:tcPr>
          <w:p>
            <w:pPr>
              <w:rPr>
                <w:sz w:val="24"/>
              </w:rPr>
            </w:pPr>
          </w:p>
        </w:tc>
        <w:tc>
          <w:tcPr>
            <w:tcW w:w="2010" w:type="dxa"/>
          </w:tcPr>
          <w:p>
            <w:pPr>
              <w:rPr>
                <w:sz w:val="24"/>
              </w:rPr>
            </w:pPr>
            <w:r>
              <w:rPr>
                <w:rFonts w:hint="eastAsia"/>
                <w:sz w:val="24"/>
              </w:rPr>
              <w:t>话题讨论</w:t>
            </w:r>
          </w:p>
        </w:tc>
        <w:tc>
          <w:tcPr>
            <w:tcW w:w="5746" w:type="dxa"/>
          </w:tcPr>
          <w:p>
            <w:pPr>
              <w:rPr>
                <w:sz w:val="24"/>
              </w:rPr>
            </w:pPr>
            <w:r>
              <w:rPr>
                <w:rFonts w:hint="eastAsia"/>
                <w:sz w:val="24"/>
              </w:rPr>
              <w:t>发布话题讨论内容，学生日语讨论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766" w:type="dxa"/>
            <w:vMerge w:val="continue"/>
          </w:tcPr>
          <w:p>
            <w:pPr>
              <w:rPr>
                <w:sz w:val="24"/>
              </w:rPr>
            </w:pPr>
          </w:p>
        </w:tc>
        <w:tc>
          <w:tcPr>
            <w:tcW w:w="2010" w:type="dxa"/>
          </w:tcPr>
          <w:p>
            <w:pPr>
              <w:rPr>
                <w:sz w:val="24"/>
              </w:rPr>
            </w:pPr>
            <w:r>
              <w:rPr>
                <w:rFonts w:hint="eastAsia"/>
                <w:sz w:val="24"/>
              </w:rPr>
              <w:t>课题陈述</w:t>
            </w:r>
          </w:p>
        </w:tc>
        <w:tc>
          <w:tcPr>
            <w:tcW w:w="5746" w:type="dxa"/>
          </w:tcPr>
          <w:p>
            <w:pPr>
              <w:rPr>
                <w:sz w:val="24"/>
              </w:rPr>
            </w:pPr>
            <w:r>
              <w:rPr>
                <w:rFonts w:hint="eastAsia"/>
                <w:sz w:val="24"/>
              </w:rPr>
              <w:t>就某一个话题和兴趣点进行个人陈述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66" w:type="dxa"/>
            <w:vMerge w:val="restart"/>
          </w:tcPr>
          <w:p>
            <w:pPr>
              <w:rPr>
                <w:sz w:val="24"/>
              </w:rPr>
            </w:pPr>
            <w:r>
              <w:rPr>
                <w:rFonts w:hint="eastAsia"/>
                <w:sz w:val="24"/>
              </w:rPr>
              <w:t>课后</w:t>
            </w:r>
          </w:p>
        </w:tc>
        <w:tc>
          <w:tcPr>
            <w:tcW w:w="2010" w:type="dxa"/>
          </w:tcPr>
          <w:p>
            <w:pPr>
              <w:rPr>
                <w:sz w:val="24"/>
              </w:rPr>
            </w:pPr>
            <w:r>
              <w:rPr>
                <w:rFonts w:hint="eastAsia"/>
                <w:sz w:val="24"/>
              </w:rPr>
              <w:t>作业</w:t>
            </w:r>
          </w:p>
        </w:tc>
        <w:tc>
          <w:tcPr>
            <w:tcW w:w="5746" w:type="dxa"/>
          </w:tcPr>
          <w:p>
            <w:pPr>
              <w:rPr>
                <w:sz w:val="24"/>
              </w:rPr>
            </w:pPr>
            <w:r>
              <w:rPr>
                <w:rFonts w:hint="eastAsia"/>
                <w:sz w:val="24"/>
              </w:rPr>
              <w:t>依托</w:t>
            </w:r>
            <w:r>
              <w:rPr>
                <w:rFonts w:ascii="Times New Roman" w:hAnsi="Times New Roman" w:cs="Times New Roman"/>
                <w:sz w:val="24"/>
              </w:rPr>
              <w:t>QQ</w:t>
            </w:r>
            <w:r>
              <w:rPr>
                <w:rFonts w:hint="eastAsia"/>
                <w:sz w:val="24"/>
              </w:rPr>
              <w:t>群作业功能区，进行课后习题批改、造句练习、日语写作练习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66" w:type="dxa"/>
            <w:vMerge w:val="continue"/>
          </w:tcPr>
          <w:p>
            <w:pPr>
              <w:rPr>
                <w:sz w:val="24"/>
              </w:rPr>
            </w:pPr>
          </w:p>
        </w:tc>
        <w:tc>
          <w:tcPr>
            <w:tcW w:w="2010" w:type="dxa"/>
          </w:tcPr>
          <w:p>
            <w:pPr>
              <w:rPr>
                <w:sz w:val="24"/>
              </w:rPr>
            </w:pPr>
            <w:r>
              <w:rPr>
                <w:rFonts w:hint="eastAsia"/>
                <w:sz w:val="24"/>
              </w:rPr>
              <w:t>答疑</w:t>
            </w:r>
          </w:p>
        </w:tc>
        <w:tc>
          <w:tcPr>
            <w:tcW w:w="5746" w:type="dxa"/>
          </w:tcPr>
          <w:p>
            <w:pPr>
              <w:rPr>
                <w:sz w:val="24"/>
              </w:rPr>
            </w:pPr>
            <w:r>
              <w:rPr>
                <w:rFonts w:ascii="Times New Roman" w:hAnsi="Times New Roman" w:cs="Times New Roman"/>
                <w:sz w:val="24"/>
              </w:rPr>
              <w:t>QQ</w:t>
            </w:r>
            <w:r>
              <w:rPr>
                <w:rFonts w:hint="eastAsia"/>
                <w:sz w:val="24"/>
              </w:rPr>
              <w:t>、微信群聊和私聊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66" w:type="dxa"/>
            <w:vMerge w:val="continue"/>
          </w:tcPr>
          <w:p>
            <w:pPr>
              <w:rPr>
                <w:sz w:val="24"/>
              </w:rPr>
            </w:pPr>
          </w:p>
        </w:tc>
        <w:tc>
          <w:tcPr>
            <w:tcW w:w="2010" w:type="dxa"/>
          </w:tcPr>
          <w:p>
            <w:pPr>
              <w:rPr>
                <w:sz w:val="24"/>
              </w:rPr>
            </w:pPr>
            <w:r>
              <w:rPr>
                <w:rFonts w:hint="eastAsia"/>
                <w:sz w:val="24"/>
              </w:rPr>
              <w:t>朗读打卡圈</w:t>
            </w:r>
          </w:p>
        </w:tc>
        <w:tc>
          <w:tcPr>
            <w:tcW w:w="5746" w:type="dxa"/>
          </w:tcPr>
          <w:p>
            <w:pPr>
              <w:rPr>
                <w:sz w:val="24"/>
              </w:rPr>
            </w:pPr>
            <w:r>
              <w:rPr>
                <w:rFonts w:hint="eastAsia"/>
                <w:sz w:val="24"/>
              </w:rPr>
              <w:t>依托“小打卡”微信小程序，实施监督学生课文和文章打卡情况</w:t>
            </w:r>
          </w:p>
        </w:tc>
      </w:tr>
    </w:tbl>
    <w:p>
      <w:pPr>
        <w:rPr>
          <w:sz w:val="24"/>
        </w:rPr>
      </w:pPr>
    </w:p>
    <w:p>
      <w:pPr>
        <w:rPr>
          <w:sz w:val="24"/>
        </w:rPr>
      </w:pPr>
    </w:p>
    <w:p>
      <w:pPr>
        <w:ind w:firstLine="482" w:firstLineChars="200"/>
        <w:rPr>
          <w:sz w:val="24"/>
        </w:rPr>
      </w:pPr>
      <w:r>
        <w:rPr>
          <w:rFonts w:hint="eastAsia"/>
          <w:b/>
          <w:bCs/>
          <w:sz w:val="24"/>
        </w:rPr>
        <w:t>课前准备。</w:t>
      </w:r>
      <w:r>
        <w:rPr>
          <w:rFonts w:hint="eastAsia"/>
          <w:sz w:val="24"/>
        </w:rPr>
        <w:t>试课准备方面，正式授课前一个星期，我组织班级学生开展了一次课程试课。在试课时，与学生进行了沟通，传达本学期的在线教学方案、课程要求、课程内容、考核方式、平台使用功能给学生，并对上学期重难点知识点进行复习，以及适当的情感沟通，学生激情高涨。备课内容准备方面，虽然以前教授过本课程，但是还是会在每节课前对课件内容进行更新，在线教学，更加要求课件的精细化，我在课件准备中会尽量让自己的</w:t>
      </w:r>
      <w:r>
        <w:rPr>
          <w:rFonts w:ascii="Times New Roman" w:hAnsi="Times New Roman" w:cs="Times New Roman"/>
          <w:sz w:val="24"/>
        </w:rPr>
        <w:t>PPT</w:t>
      </w:r>
      <w:r>
        <w:rPr>
          <w:rFonts w:hint="eastAsia"/>
          <w:sz w:val="24"/>
        </w:rPr>
        <w:t>尽可能地以图片、声像等形式展现，以期给予学生更大的感官刺激，记忆深刻。课前十分钟，我会进入教室，利用签到时间，给学生播放日本文化相关视频和相关课程单词、课文</w:t>
      </w:r>
      <w:r>
        <w:rPr>
          <w:rFonts w:ascii="Times New Roman" w:hAnsi="Times New Roman" w:cs="Times New Roman"/>
          <w:sz w:val="24"/>
        </w:rPr>
        <w:t>CD</w:t>
      </w:r>
      <w:r>
        <w:rPr>
          <w:rFonts w:hint="eastAsia"/>
          <w:sz w:val="24"/>
        </w:rPr>
        <w:t>，要求学生进行跟读训练。</w:t>
      </w:r>
    </w:p>
    <w:p>
      <w:pPr>
        <w:ind w:firstLine="420" w:firstLineChars="200"/>
        <w:rPr>
          <w:sz w:val="24"/>
        </w:rPr>
      </w:pPr>
      <w:r>
        <w:drawing>
          <wp:inline distT="0" distB="0" distL="114300" distR="114300">
            <wp:extent cx="4489450" cy="3221355"/>
            <wp:effectExtent l="0" t="0" r="6350" b="952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5"/>
                    <a:stretch>
                      <a:fillRect/>
                    </a:stretch>
                  </pic:blipFill>
                  <pic:spPr>
                    <a:xfrm>
                      <a:off x="0" y="0"/>
                      <a:ext cx="4489450" cy="3221355"/>
                    </a:xfrm>
                    <a:prstGeom prst="rect">
                      <a:avLst/>
                    </a:prstGeom>
                  </pic:spPr>
                </pic:pic>
              </a:graphicData>
            </a:graphic>
          </wp:inline>
        </w:drawing>
      </w:r>
    </w:p>
    <w:p>
      <w:pPr>
        <w:ind w:firstLine="482" w:firstLineChars="200"/>
        <w:rPr>
          <w:sz w:val="24"/>
        </w:rPr>
      </w:pPr>
      <w:r>
        <w:rPr>
          <w:rFonts w:hint="eastAsia"/>
          <w:b/>
          <w:bCs/>
          <w:sz w:val="24"/>
        </w:rPr>
        <w:t>课中组织。</w:t>
      </w:r>
      <w:r>
        <w:rPr>
          <w:rFonts w:hint="eastAsia"/>
          <w:sz w:val="24"/>
        </w:rPr>
        <w:t>课中在知识点讲授过程中，明确相关课程重难点，对语法进行系统性整理，讲授给学生。与“老师讲，学生听”传统方式不同，更多的是给学生抛出问题，让学生思考总结，找出规律，得出结论。在单词部分，采取一边分享屏幕一边Word文档演示的方式，对单词进行扩展延伸讲解，在弹幕讨论区进行口笔头听写以及单词接龙游戏。在课文部分，会一对一、分角色进行“师生”、“生生”对话，实时检查学生学习情况。此外也会提出某一个话题让学生用日语进行讨论，发表意见。</w:t>
      </w:r>
    </w:p>
    <w:p>
      <w:pPr>
        <w:ind w:firstLine="420" w:firstLineChars="200"/>
      </w:pPr>
      <w:r>
        <w:drawing>
          <wp:inline distT="0" distB="0" distL="114300" distR="114300">
            <wp:extent cx="2390775" cy="1807210"/>
            <wp:effectExtent l="0" t="0" r="1905" b="635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6"/>
                    <a:stretch>
                      <a:fillRect/>
                    </a:stretch>
                  </pic:blipFill>
                  <pic:spPr>
                    <a:xfrm>
                      <a:off x="0" y="0"/>
                      <a:ext cx="2390775" cy="1807210"/>
                    </a:xfrm>
                    <a:prstGeom prst="rect">
                      <a:avLst/>
                    </a:prstGeom>
                  </pic:spPr>
                </pic:pic>
              </a:graphicData>
            </a:graphic>
          </wp:inline>
        </w:drawing>
      </w:r>
      <w:r>
        <w:drawing>
          <wp:inline distT="0" distB="0" distL="114300" distR="114300">
            <wp:extent cx="2284095" cy="1745615"/>
            <wp:effectExtent l="0" t="0" r="1905" b="6985"/>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7"/>
                    <a:stretch>
                      <a:fillRect/>
                    </a:stretch>
                  </pic:blipFill>
                  <pic:spPr>
                    <a:xfrm>
                      <a:off x="0" y="0"/>
                      <a:ext cx="2284095" cy="1745615"/>
                    </a:xfrm>
                    <a:prstGeom prst="rect">
                      <a:avLst/>
                    </a:prstGeom>
                  </pic:spPr>
                </pic:pic>
              </a:graphicData>
            </a:graphic>
          </wp:inline>
        </w:drawing>
      </w:r>
    </w:p>
    <w:p>
      <w:pPr>
        <w:ind w:firstLine="420" w:firstLineChars="200"/>
      </w:pPr>
      <w:r>
        <w:drawing>
          <wp:inline distT="0" distB="0" distL="114300" distR="114300">
            <wp:extent cx="4547870" cy="2042795"/>
            <wp:effectExtent l="0" t="0" r="8890" b="1460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8"/>
                    <a:stretch>
                      <a:fillRect/>
                    </a:stretch>
                  </pic:blipFill>
                  <pic:spPr>
                    <a:xfrm>
                      <a:off x="0" y="0"/>
                      <a:ext cx="4547870" cy="2042795"/>
                    </a:xfrm>
                    <a:prstGeom prst="rect">
                      <a:avLst/>
                    </a:prstGeom>
                  </pic:spPr>
                </pic:pic>
              </a:graphicData>
            </a:graphic>
          </wp:inline>
        </w:drawing>
      </w:r>
    </w:p>
    <w:p>
      <w:pPr>
        <w:ind w:firstLine="482" w:firstLineChars="200"/>
        <w:rPr>
          <w:sz w:val="24"/>
        </w:rPr>
      </w:pPr>
      <w:r>
        <w:rPr>
          <w:rFonts w:hint="eastAsia"/>
          <w:b/>
          <w:bCs/>
          <w:sz w:val="24"/>
        </w:rPr>
        <w:t>课后组织。</w:t>
      </w:r>
      <w:r>
        <w:rPr>
          <w:rFonts w:hint="eastAsia"/>
          <w:sz w:val="24"/>
        </w:rPr>
        <w:t>在课后，我主要利用</w:t>
      </w:r>
      <w:r>
        <w:rPr>
          <w:rFonts w:ascii="Times New Roman" w:hAnsi="Times New Roman" w:cs="Times New Roman"/>
          <w:sz w:val="24"/>
        </w:rPr>
        <w:t>QQ</w:t>
      </w:r>
      <w:r>
        <w:rPr>
          <w:rFonts w:hint="eastAsia"/>
          <w:sz w:val="24"/>
        </w:rPr>
        <w:t>群作业功能布置课后作业。一般有课后习题、造句练习、单元小测、日语写作等作业形式，需要学生在线提交。此外，我在“小打卡”微信小程序中建立了朗读打卡圈，给学生布置打卡任务，加强学生课后自主学习能力。最后，课程结束后，会在</w:t>
      </w:r>
      <w:r>
        <w:rPr>
          <w:rFonts w:ascii="Times New Roman" w:hAnsi="Times New Roman" w:cs="Times New Roman"/>
          <w:sz w:val="24"/>
        </w:rPr>
        <w:t>QQ</w:t>
      </w:r>
      <w:r>
        <w:rPr>
          <w:rFonts w:hint="eastAsia"/>
          <w:sz w:val="24"/>
        </w:rPr>
        <w:t>群、微信群以及私聊中解疑答惑。</w:t>
      </w:r>
    </w:p>
    <w:p>
      <w:pPr>
        <w:ind w:firstLine="420" w:firstLineChars="200"/>
        <w:jc w:val="center"/>
        <w:rPr>
          <w:sz w:val="24"/>
        </w:rPr>
      </w:pPr>
      <w:r>
        <w:drawing>
          <wp:inline distT="0" distB="0" distL="114300" distR="114300">
            <wp:extent cx="2054225" cy="3444875"/>
            <wp:effectExtent l="0" t="0" r="3175" b="1460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9"/>
                    <a:stretch>
                      <a:fillRect/>
                    </a:stretch>
                  </pic:blipFill>
                  <pic:spPr>
                    <a:xfrm>
                      <a:off x="0" y="0"/>
                      <a:ext cx="2054225" cy="3444875"/>
                    </a:xfrm>
                    <a:prstGeom prst="rect">
                      <a:avLst/>
                    </a:prstGeom>
                  </pic:spPr>
                </pic:pic>
              </a:graphicData>
            </a:graphic>
          </wp:inline>
        </w:drawing>
      </w:r>
      <w:r>
        <w:drawing>
          <wp:inline distT="0" distB="0" distL="114300" distR="114300">
            <wp:extent cx="1979930" cy="3446145"/>
            <wp:effectExtent l="0" t="0" r="1270" b="1333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0"/>
                    <a:stretch>
                      <a:fillRect/>
                    </a:stretch>
                  </pic:blipFill>
                  <pic:spPr>
                    <a:xfrm>
                      <a:off x="0" y="0"/>
                      <a:ext cx="1979930" cy="3446145"/>
                    </a:xfrm>
                    <a:prstGeom prst="rect">
                      <a:avLst/>
                    </a:prstGeom>
                  </pic:spPr>
                </pic:pic>
              </a:graphicData>
            </a:graphic>
          </wp:inline>
        </w:drawing>
      </w:r>
      <w:r>
        <w:drawing>
          <wp:inline distT="0" distB="0" distL="114300" distR="114300">
            <wp:extent cx="4140835" cy="2857500"/>
            <wp:effectExtent l="0" t="0" r="4445" b="762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1"/>
                    <a:stretch>
                      <a:fillRect/>
                    </a:stretch>
                  </pic:blipFill>
                  <pic:spPr>
                    <a:xfrm>
                      <a:off x="0" y="0"/>
                      <a:ext cx="4140835" cy="2857500"/>
                    </a:xfrm>
                    <a:prstGeom prst="rect">
                      <a:avLst/>
                    </a:prstGeom>
                  </pic:spPr>
                </pic:pic>
              </a:graphicData>
            </a:graphic>
          </wp:inline>
        </w:drawing>
      </w:r>
    </w:p>
    <w:p>
      <w:pPr>
        <w:rPr>
          <w:sz w:val="24"/>
        </w:rPr>
      </w:pPr>
      <w:r>
        <w:rPr>
          <w:rFonts w:ascii="Times New Roman" w:hAnsi="Times New Roman" w:cs="Times New Roman"/>
          <w:sz w:val="24"/>
        </w:rPr>
        <w:t xml:space="preserve">3 </w:t>
      </w:r>
      <w:r>
        <w:rPr>
          <w:rFonts w:hint="eastAsia"/>
          <w:sz w:val="24"/>
        </w:rPr>
        <w:t>在线教学成效</w:t>
      </w:r>
    </w:p>
    <w:p>
      <w:pPr>
        <w:ind w:firstLine="480" w:firstLineChars="200"/>
        <w:rPr>
          <w:sz w:val="24"/>
        </w:rPr>
      </w:pPr>
      <w:r>
        <w:rPr>
          <w:rFonts w:hint="eastAsia"/>
          <w:sz w:val="24"/>
        </w:rPr>
        <w:t>比起线下传统教学，</w:t>
      </w:r>
      <w:bookmarkStart w:id="0" w:name="_GoBack"/>
      <w:bookmarkEnd w:id="0"/>
      <w:r>
        <w:rPr>
          <w:rFonts w:hint="eastAsia"/>
          <w:sz w:val="24"/>
        </w:rPr>
        <w:t>所带班级课程呈现以下效果。第一、课程内容更加具备开放性，比如在朗读打卡环节，不在局限于课本内容，更加注重学生自主寻找素材、理解素材、高质量完成打卡内容的能力，因此，学生也显现出更大地热情和激情。第二、课程中，结合微课视频翻转学习，比起单一讲授法，学生在课后会花更多的时间对课程内容进行理解，自主学习能力有明显提高。第三、因担心学生在线学习会遇到困难，不知学生在线教学掌握度，因此实施了“一课一总结，两课一小测”，总体来看学生的掌握度较好。第四、依托平台，每个学生都有提问、回答、发言的机会，比起传统课堂，似乎学生更加珍视发言的机会，因此，课堂互动性较好，学生之间分角色分组讨论学习，交互学习、协作学习顺利开展。</w:t>
      </w:r>
    </w:p>
    <w:p>
      <w:pPr>
        <w:rPr>
          <w:sz w:val="24"/>
        </w:rPr>
      </w:pPr>
      <w:r>
        <w:rPr>
          <w:rFonts w:ascii="Times New Roman" w:hAnsi="Times New Roman" w:cs="Times New Roman"/>
          <w:sz w:val="24"/>
        </w:rPr>
        <w:t xml:space="preserve">4 </w:t>
      </w:r>
      <w:r>
        <w:rPr>
          <w:rFonts w:hint="eastAsia"/>
          <w:sz w:val="24"/>
        </w:rPr>
        <w:t>教学反思</w:t>
      </w:r>
    </w:p>
    <w:p>
      <w:pPr>
        <w:numPr>
          <w:ilvl w:val="0"/>
          <w:numId w:val="1"/>
        </w:numPr>
        <w:ind w:firstLine="480" w:firstLineChars="200"/>
        <w:rPr>
          <w:sz w:val="24"/>
        </w:rPr>
      </w:pPr>
      <w:r>
        <w:rPr>
          <w:rFonts w:hint="eastAsia"/>
          <w:sz w:val="24"/>
        </w:rPr>
        <w:t>由于在线教学所选平台无法观看学生端画面，比起传统课堂，实时监测学生学习状态受到局限，有少部分学生稍显沉默，教师不提问，坚决不举手，要改善这种情况，必须对学生开展思想工作，找到解决的办法。第二、除课前、课间十分钟，与学生交流的时间比起在校学习大大减少，与学生的情感交流也稍显不足。</w:t>
      </w:r>
    </w:p>
    <w:p>
      <w:pPr>
        <w:rPr>
          <w:sz w:val="24"/>
        </w:rPr>
      </w:pPr>
      <w:r>
        <w:rPr>
          <w:rFonts w:hint="eastAsia"/>
          <w:sz w:val="24"/>
        </w:rPr>
        <w:t>总结</w:t>
      </w:r>
    </w:p>
    <w:p>
      <w:pPr>
        <w:ind w:firstLine="480" w:firstLineChars="200"/>
        <w:rPr>
          <w:sz w:val="24"/>
        </w:rPr>
      </w:pPr>
      <w:r>
        <w:rPr>
          <w:rFonts w:hint="eastAsia"/>
          <w:sz w:val="24"/>
        </w:rPr>
        <w:t>我认为本次在线教学，实际上是我们教师课堂改革的一个契机。它带给我们许许多多的启发和思考，我们也会对自己的教学进行总结和反思，而每一次的总结和反思于我们而言是一次又一次的挑战和机会。今后，我相信，回归传统教学后，我也会努力地去寻找线上线下混合式教学的新模式，使课堂更高效。</w:t>
      </w:r>
    </w:p>
    <w:p>
      <w:pPr>
        <w:rPr>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2B6F83"/>
    <w:multiLevelType w:val="singleLevel"/>
    <w:tmpl w:val="472B6F83"/>
    <w:lvl w:ilvl="0" w:tentative="0">
      <w:start w:val="1"/>
      <w:numFmt w:val="chineseCounting"/>
      <w:suff w:val="nothing"/>
      <w:lvlText w:val="第%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4A1"/>
    <w:rsid w:val="006060DF"/>
    <w:rsid w:val="00FB14A1"/>
    <w:rsid w:val="142C2829"/>
    <w:rsid w:val="16204ADB"/>
    <w:rsid w:val="35927893"/>
    <w:rsid w:val="47392548"/>
    <w:rsid w:val="49571781"/>
    <w:rsid w:val="52BF1309"/>
    <w:rsid w:val="5ED57892"/>
    <w:rsid w:val="78CF0C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297</Words>
  <Characters>1696</Characters>
  <Lines>14</Lines>
  <Paragraphs>3</Paragraphs>
  <TotalTime>1</TotalTime>
  <ScaleCrop>false</ScaleCrop>
  <LinksUpToDate>false</LinksUpToDate>
  <CharactersWithSpaces>1990</CharactersWithSpaces>
  <Application>WPS Office_11.1.0.9672_F1E327BC-269C-435d-A152-05C5408002CA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WUYI</dc:creator>
  <cp:lastModifiedBy>18826451075</cp:lastModifiedBy>
  <dcterms:modified xsi:type="dcterms:W3CDTF">2020-05-07T06:53:48Z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2052-11.1.0.9672</vt:lpwstr>
  </property>
</Properties>
</file>