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9B5AD">
      <w:pPr>
        <w:spacing w:line="336" w:lineRule="auto"/>
        <w:rPr>
          <w:rFonts w:hint="eastAsia" w:ascii="宋体" w:hAnsi="宋体" w:eastAsia="宋体" w:cs="Times New Roman"/>
          <w:b/>
          <w:sz w:val="24"/>
          <w:szCs w:val="24"/>
          <w:lang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</w:rPr>
        <w:t>附件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1</w:t>
      </w:r>
    </w:p>
    <w:p w14:paraId="161C9745">
      <w:pPr>
        <w:autoSpaceDE w:val="0"/>
        <w:autoSpaceDN w:val="0"/>
        <w:adjustRightInd w:val="0"/>
        <w:jc w:val="center"/>
        <w:rPr>
          <w:rFonts w:ascii="黑体" w:hAnsi="Calibri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hAnsi="Calibri" w:eastAsia="黑体" w:cs="黑体"/>
          <w:b/>
          <w:bCs/>
          <w:color w:val="000000"/>
          <w:kern w:val="0"/>
          <w:sz w:val="24"/>
          <w:szCs w:val="24"/>
        </w:rPr>
        <w:t>广东外语外贸大学南国商学院</w:t>
      </w:r>
    </w:p>
    <w:p w14:paraId="04487505">
      <w:pPr>
        <w:autoSpaceDE w:val="0"/>
        <w:autoSpaceDN w:val="0"/>
        <w:adjustRightInd w:val="0"/>
        <w:jc w:val="center"/>
        <w:rPr>
          <w:rFonts w:ascii="黑体" w:hAnsi="Calibri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hAnsi="Calibri" w:eastAsia="黑体" w:cs="黑体"/>
          <w:b/>
          <w:bCs/>
          <w:color w:val="000000"/>
          <w:kern w:val="0"/>
          <w:sz w:val="24"/>
          <w:szCs w:val="24"/>
        </w:rPr>
        <w:t xml:space="preserve"> </w:t>
      </w:r>
      <w:bookmarkStart w:id="0" w:name="_GoBack"/>
      <w:r>
        <w:rPr>
          <w:rFonts w:hint="eastAsia" w:ascii="黑体" w:hAnsi="Calibri" w:eastAsia="黑体" w:cs="黑体"/>
          <w:b/>
          <w:bCs/>
          <w:color w:val="000000"/>
          <w:kern w:val="0"/>
          <w:sz w:val="24"/>
          <w:szCs w:val="24"/>
        </w:rPr>
        <w:t>“随时随地学外语·讲外语·用外语”</w:t>
      </w:r>
      <w:bookmarkEnd w:id="0"/>
    </w:p>
    <w:p w14:paraId="104EC4EB">
      <w:pPr>
        <w:autoSpaceDE w:val="0"/>
        <w:autoSpaceDN w:val="0"/>
        <w:adjustRightInd w:val="0"/>
        <w:jc w:val="center"/>
        <w:rPr>
          <w:rFonts w:ascii="黑体" w:hAnsi="Calibri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hAnsi="Calibri" w:eastAsia="黑体" w:cs="黑体"/>
          <w:b/>
          <w:bCs/>
          <w:color w:val="000000"/>
          <w:kern w:val="0"/>
          <w:sz w:val="24"/>
          <w:szCs w:val="24"/>
        </w:rPr>
        <w:t>外语类单位工作考核评审指标（修订稿）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475"/>
        <w:gridCol w:w="3310"/>
        <w:gridCol w:w="925"/>
        <w:gridCol w:w="911"/>
      </w:tblGrid>
      <w:tr w14:paraId="61349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noWrap w:val="0"/>
            <w:vAlign w:val="center"/>
          </w:tcPr>
          <w:p w14:paraId="5EC56D33">
            <w:pPr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指标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070D3501">
            <w:pPr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主要内涵</w:t>
            </w:r>
          </w:p>
        </w:tc>
        <w:tc>
          <w:tcPr>
            <w:tcW w:w="925" w:type="dxa"/>
            <w:noWrap w:val="0"/>
            <w:vAlign w:val="center"/>
          </w:tcPr>
          <w:p w14:paraId="6019ACE7">
            <w:pPr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满分</w:t>
            </w:r>
          </w:p>
        </w:tc>
        <w:tc>
          <w:tcPr>
            <w:tcW w:w="911" w:type="dxa"/>
            <w:noWrap w:val="0"/>
            <w:vAlign w:val="center"/>
          </w:tcPr>
          <w:p w14:paraId="6B436077">
            <w:pPr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得分</w:t>
            </w:r>
          </w:p>
        </w:tc>
      </w:tr>
      <w:tr w14:paraId="57F71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98" w:type="dxa"/>
            <w:noWrap w:val="0"/>
            <w:vAlign w:val="center"/>
          </w:tcPr>
          <w:p w14:paraId="53B75948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晨读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4F4C4CF6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学院班级晨读情况</w:t>
            </w:r>
          </w:p>
        </w:tc>
        <w:tc>
          <w:tcPr>
            <w:tcW w:w="925" w:type="dxa"/>
            <w:noWrap w:val="0"/>
            <w:vAlign w:val="center"/>
          </w:tcPr>
          <w:p w14:paraId="123E7106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60分</w:t>
            </w:r>
          </w:p>
        </w:tc>
        <w:tc>
          <w:tcPr>
            <w:tcW w:w="911" w:type="dxa"/>
            <w:noWrap w:val="0"/>
            <w:vAlign w:val="center"/>
          </w:tcPr>
          <w:p w14:paraId="3C670582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</w:p>
        </w:tc>
      </w:tr>
      <w:tr w14:paraId="1EFD4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restart"/>
            <w:noWrap w:val="0"/>
            <w:vAlign w:val="center"/>
          </w:tcPr>
          <w:p w14:paraId="377C7A8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 w14:paraId="7212AA2D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  <w:t>“随时随地学外语·讲外语·用外语”</w:t>
            </w:r>
          </w:p>
          <w:p w14:paraId="6BEFC9E3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学生活动开展情况</w:t>
            </w:r>
          </w:p>
        </w:tc>
        <w:tc>
          <w:tcPr>
            <w:tcW w:w="3310" w:type="dxa"/>
            <w:noWrap w:val="0"/>
            <w:vAlign w:val="center"/>
          </w:tcPr>
          <w:p w14:paraId="6284268A">
            <w:pPr>
              <w:jc w:val="left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1"/>
                <w:szCs w:val="21"/>
                <w:highlight w:val="none"/>
              </w:rPr>
              <w:t>品牌课外实践教学活动开展材料：活动方案、实施情况等。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 w14:paraId="2C5C08CE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30分</w:t>
            </w:r>
          </w:p>
        </w:tc>
        <w:tc>
          <w:tcPr>
            <w:tcW w:w="911" w:type="dxa"/>
            <w:vMerge w:val="restart"/>
            <w:noWrap w:val="0"/>
            <w:vAlign w:val="center"/>
          </w:tcPr>
          <w:p w14:paraId="2AE3048E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</w:p>
        </w:tc>
      </w:tr>
      <w:tr w14:paraId="1B3D0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 w14:paraId="06336BDD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14847E6E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08FA1AC6">
            <w:pPr>
              <w:jc w:val="left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学生在外语竞赛中获奖情况。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50471237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3996445C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5626F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 w14:paraId="58BA51C2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62537A60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4FC37F5B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专业外语考级情况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5364271C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1AFFE7B3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344F5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continue"/>
            <w:noWrap w:val="0"/>
            <w:vAlign w:val="center"/>
          </w:tcPr>
          <w:p w14:paraId="1E24296F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2DEF1FE6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69CF23AB">
            <w:pPr>
              <w:jc w:val="left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围绕“一体两翼”的人才培养模式，全面提高学生外语能力和实践能力，提升核心竞争力，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推行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外语教学改革的项目和活动等。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2654265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3C6F64D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105E3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</w:trPr>
        <w:tc>
          <w:tcPr>
            <w:tcW w:w="898" w:type="dxa"/>
            <w:noWrap w:val="0"/>
            <w:vAlign w:val="center"/>
          </w:tcPr>
          <w:p w14:paraId="58FF7C73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学院教师</w:t>
            </w:r>
          </w:p>
          <w:p w14:paraId="393F029B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专业活动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3DC43D2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学院教师专业会议使用外语情况</w:t>
            </w:r>
          </w:p>
        </w:tc>
        <w:tc>
          <w:tcPr>
            <w:tcW w:w="925" w:type="dxa"/>
            <w:noWrap w:val="0"/>
            <w:vAlign w:val="center"/>
          </w:tcPr>
          <w:p w14:paraId="76DCB1F3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10分</w:t>
            </w:r>
          </w:p>
        </w:tc>
        <w:tc>
          <w:tcPr>
            <w:tcW w:w="911" w:type="dxa"/>
            <w:noWrap w:val="0"/>
            <w:vAlign w:val="center"/>
          </w:tcPr>
          <w:p w14:paraId="56A0924D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</w:p>
        </w:tc>
      </w:tr>
      <w:tr w14:paraId="2301E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3" w:type="dxa"/>
            <w:gridSpan w:val="3"/>
            <w:noWrap w:val="0"/>
            <w:vAlign w:val="center"/>
          </w:tcPr>
          <w:p w14:paraId="58AC8C3A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925" w:type="dxa"/>
            <w:noWrap w:val="0"/>
            <w:vAlign w:val="center"/>
          </w:tcPr>
          <w:p w14:paraId="44ED39CC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100分</w:t>
            </w:r>
          </w:p>
        </w:tc>
        <w:tc>
          <w:tcPr>
            <w:tcW w:w="911" w:type="dxa"/>
            <w:noWrap w:val="0"/>
            <w:vAlign w:val="center"/>
          </w:tcPr>
          <w:p w14:paraId="0E0F01C0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</w:p>
        </w:tc>
      </w:tr>
    </w:tbl>
    <w:p w14:paraId="0383E16D">
      <w:pPr>
        <w:rPr>
          <w:rFonts w:hint="eastAsia" w:ascii="宋体" w:hAnsi="宋体" w:eastAsia="宋体" w:cs="Times New Roman"/>
          <w:sz w:val="24"/>
          <w:shd w:val="clear" w:color="auto" w:fill="FFFFFF"/>
        </w:rPr>
      </w:pPr>
    </w:p>
    <w:p w14:paraId="0D98F07D">
      <w:pPr>
        <w:autoSpaceDE w:val="0"/>
        <w:autoSpaceDN w:val="0"/>
        <w:adjustRightInd w:val="0"/>
        <w:jc w:val="center"/>
        <w:rPr>
          <w:rFonts w:ascii="黑体" w:hAnsi="Calibri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hAnsi="Calibri" w:eastAsia="黑体" w:cs="黑体"/>
          <w:b/>
          <w:bCs/>
          <w:color w:val="000000"/>
          <w:kern w:val="0"/>
          <w:sz w:val="24"/>
          <w:szCs w:val="24"/>
        </w:rPr>
        <w:t>广东外语外贸大学南国商学院</w:t>
      </w:r>
    </w:p>
    <w:p w14:paraId="42618310">
      <w:pPr>
        <w:autoSpaceDE w:val="0"/>
        <w:autoSpaceDN w:val="0"/>
        <w:adjustRightInd w:val="0"/>
        <w:jc w:val="center"/>
        <w:rPr>
          <w:rFonts w:ascii="黑体" w:hAnsi="Calibri" w:eastAsia="黑体" w:cs="黑体"/>
          <w:b/>
          <w:bCs/>
          <w:color w:val="000000"/>
          <w:kern w:val="0"/>
          <w:sz w:val="24"/>
          <w:szCs w:val="24"/>
        </w:rPr>
      </w:pPr>
      <w:r>
        <w:rPr>
          <w:rFonts w:hint="eastAsia" w:ascii="黑体" w:hAnsi="Calibri" w:eastAsia="黑体" w:cs="黑体"/>
          <w:b/>
          <w:bCs/>
          <w:color w:val="000000"/>
          <w:kern w:val="0"/>
          <w:sz w:val="24"/>
          <w:szCs w:val="24"/>
        </w:rPr>
        <w:t xml:space="preserve"> “随时随地学外语·讲外语·用外语”</w:t>
      </w:r>
    </w:p>
    <w:p w14:paraId="18BFD84E">
      <w:pPr>
        <w:autoSpaceDE w:val="0"/>
        <w:autoSpaceDN w:val="0"/>
        <w:adjustRightInd w:val="0"/>
        <w:jc w:val="center"/>
        <w:rPr>
          <w:rFonts w:ascii="黑体" w:hAnsi="Calibri" w:eastAsia="黑体" w:cs="黑体"/>
          <w:color w:val="000000"/>
          <w:kern w:val="0"/>
          <w:sz w:val="24"/>
          <w:szCs w:val="24"/>
        </w:rPr>
      </w:pPr>
      <w:r>
        <w:rPr>
          <w:rFonts w:hint="eastAsia" w:ascii="黑体" w:hAnsi="Calibri" w:eastAsia="黑体" w:cs="黑体"/>
          <w:b/>
          <w:bCs/>
          <w:color w:val="000000"/>
          <w:kern w:val="0"/>
          <w:sz w:val="24"/>
          <w:szCs w:val="24"/>
          <w:lang w:val="en-US" w:eastAsia="zh-CN"/>
        </w:rPr>
        <w:t>非</w:t>
      </w:r>
      <w:r>
        <w:rPr>
          <w:rFonts w:hint="eastAsia" w:ascii="黑体" w:hAnsi="Calibri" w:eastAsia="黑体" w:cs="黑体"/>
          <w:b/>
          <w:bCs/>
          <w:color w:val="000000"/>
          <w:kern w:val="0"/>
          <w:sz w:val="24"/>
          <w:szCs w:val="24"/>
        </w:rPr>
        <w:t>外语类单位工作考核评审指标（修订稿）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2475"/>
        <w:gridCol w:w="3310"/>
        <w:gridCol w:w="925"/>
        <w:gridCol w:w="911"/>
      </w:tblGrid>
      <w:tr w14:paraId="0611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898" w:type="dxa"/>
            <w:noWrap w:val="0"/>
            <w:vAlign w:val="center"/>
          </w:tcPr>
          <w:p w14:paraId="24EE6873">
            <w:pPr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指标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66756506">
            <w:pPr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>主要内涵</w:t>
            </w:r>
          </w:p>
        </w:tc>
        <w:tc>
          <w:tcPr>
            <w:tcW w:w="925" w:type="dxa"/>
            <w:noWrap w:val="0"/>
            <w:vAlign w:val="center"/>
          </w:tcPr>
          <w:p w14:paraId="46F6299F">
            <w:pPr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满分</w:t>
            </w:r>
          </w:p>
        </w:tc>
        <w:tc>
          <w:tcPr>
            <w:tcW w:w="911" w:type="dxa"/>
            <w:noWrap w:val="0"/>
            <w:vAlign w:val="center"/>
          </w:tcPr>
          <w:p w14:paraId="71214BAC">
            <w:pPr>
              <w:jc w:val="center"/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  <w:lang w:val="en-US" w:eastAsia="zh-CN"/>
              </w:rPr>
              <w:t>得分</w:t>
            </w:r>
          </w:p>
        </w:tc>
      </w:tr>
      <w:tr w14:paraId="46A9D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898" w:type="dxa"/>
            <w:noWrap w:val="0"/>
            <w:vAlign w:val="center"/>
          </w:tcPr>
          <w:p w14:paraId="53AC2429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晨读</w:t>
            </w:r>
          </w:p>
        </w:tc>
        <w:tc>
          <w:tcPr>
            <w:tcW w:w="5785" w:type="dxa"/>
            <w:gridSpan w:val="2"/>
            <w:noWrap w:val="0"/>
            <w:vAlign w:val="center"/>
          </w:tcPr>
          <w:p w14:paraId="3AF300E4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学院班级晨读情况</w:t>
            </w:r>
          </w:p>
        </w:tc>
        <w:tc>
          <w:tcPr>
            <w:tcW w:w="925" w:type="dxa"/>
            <w:noWrap w:val="0"/>
            <w:vAlign w:val="center"/>
          </w:tcPr>
          <w:p w14:paraId="2C166C18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60分</w:t>
            </w:r>
          </w:p>
        </w:tc>
        <w:tc>
          <w:tcPr>
            <w:tcW w:w="911" w:type="dxa"/>
            <w:noWrap w:val="0"/>
            <w:vAlign w:val="center"/>
          </w:tcPr>
          <w:p w14:paraId="194C095F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</w:p>
        </w:tc>
      </w:tr>
      <w:tr w14:paraId="7E03E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98" w:type="dxa"/>
            <w:vMerge w:val="restart"/>
            <w:noWrap w:val="0"/>
            <w:vAlign w:val="center"/>
          </w:tcPr>
          <w:p w14:paraId="6BD4BB60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学生活动</w:t>
            </w:r>
          </w:p>
        </w:tc>
        <w:tc>
          <w:tcPr>
            <w:tcW w:w="2475" w:type="dxa"/>
            <w:vMerge w:val="restart"/>
            <w:noWrap w:val="0"/>
            <w:vAlign w:val="center"/>
          </w:tcPr>
          <w:p w14:paraId="707F260E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  <w:t>“随时随地学外语·讲外语·用外语”</w:t>
            </w:r>
          </w:p>
          <w:p w14:paraId="725CB03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学生活动开展情况</w:t>
            </w:r>
          </w:p>
        </w:tc>
        <w:tc>
          <w:tcPr>
            <w:tcW w:w="3310" w:type="dxa"/>
            <w:noWrap w:val="0"/>
            <w:vAlign w:val="center"/>
          </w:tcPr>
          <w:p w14:paraId="59C356A3">
            <w:pPr>
              <w:jc w:val="left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Cs/>
                <w:color w:val="000000"/>
                <w:kern w:val="0"/>
                <w:sz w:val="21"/>
                <w:szCs w:val="21"/>
                <w:highlight w:val="none"/>
              </w:rPr>
              <w:t>品牌课外实践教学活动开展材料：活动方案、实施情况等。</w:t>
            </w:r>
          </w:p>
        </w:tc>
        <w:tc>
          <w:tcPr>
            <w:tcW w:w="925" w:type="dxa"/>
            <w:vMerge w:val="restart"/>
            <w:noWrap w:val="0"/>
            <w:vAlign w:val="center"/>
          </w:tcPr>
          <w:p w14:paraId="79347856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40分</w:t>
            </w:r>
          </w:p>
        </w:tc>
        <w:tc>
          <w:tcPr>
            <w:tcW w:w="911" w:type="dxa"/>
            <w:vMerge w:val="restart"/>
            <w:noWrap w:val="0"/>
            <w:vAlign w:val="center"/>
          </w:tcPr>
          <w:p w14:paraId="06AA3CB4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</w:p>
        </w:tc>
      </w:tr>
      <w:tr w14:paraId="45427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898" w:type="dxa"/>
            <w:vMerge w:val="continue"/>
            <w:noWrap w:val="0"/>
            <w:vAlign w:val="center"/>
          </w:tcPr>
          <w:p w14:paraId="6F0A1E9B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1D5C34EC">
            <w:pPr>
              <w:jc w:val="center"/>
              <w:rPr>
                <w:rFonts w:ascii="Calibri" w:hAnsi="Calibri" w:eastAsia="宋体" w:cs="Times New Roma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7F78FA5F">
            <w:pPr>
              <w:jc w:val="left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学生在外语竞赛中获奖情况。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52D5DC67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5A8A7175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725FB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98" w:type="dxa"/>
            <w:vMerge w:val="continue"/>
            <w:noWrap w:val="0"/>
            <w:vAlign w:val="center"/>
          </w:tcPr>
          <w:p w14:paraId="1A3CF6E8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07C94829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1DB5163E">
            <w:pPr>
              <w:jc w:val="left"/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大学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四六级考级情况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565B63EB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4C8C2ED2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1025B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6" w:hRule="atLeast"/>
        </w:trPr>
        <w:tc>
          <w:tcPr>
            <w:tcW w:w="898" w:type="dxa"/>
            <w:vMerge w:val="continue"/>
            <w:noWrap w:val="0"/>
            <w:vAlign w:val="center"/>
          </w:tcPr>
          <w:p w14:paraId="3FF51207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2475" w:type="dxa"/>
            <w:vMerge w:val="continue"/>
            <w:noWrap w:val="0"/>
            <w:vAlign w:val="center"/>
          </w:tcPr>
          <w:p w14:paraId="7A3382A5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3310" w:type="dxa"/>
            <w:noWrap w:val="0"/>
            <w:vAlign w:val="center"/>
          </w:tcPr>
          <w:p w14:paraId="0318611F">
            <w:pPr>
              <w:jc w:val="left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围绕“一体两翼”的人才培养模式，全面提高学生外语能力和实践能力，提升核心竞争力，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  <w:lang w:eastAsia="zh-CN"/>
              </w:rPr>
              <w:t>推行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highlight w:val="none"/>
              </w:rPr>
              <w:t>外语教学改革的项目和活动等。</w:t>
            </w:r>
          </w:p>
        </w:tc>
        <w:tc>
          <w:tcPr>
            <w:tcW w:w="925" w:type="dxa"/>
            <w:vMerge w:val="continue"/>
            <w:noWrap w:val="0"/>
            <w:vAlign w:val="center"/>
          </w:tcPr>
          <w:p w14:paraId="0D75338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11" w:type="dxa"/>
            <w:vMerge w:val="continue"/>
            <w:noWrap w:val="0"/>
            <w:vAlign w:val="center"/>
          </w:tcPr>
          <w:p w14:paraId="562ED09C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 w14:paraId="07074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683" w:type="dxa"/>
            <w:gridSpan w:val="3"/>
            <w:noWrap w:val="0"/>
            <w:vAlign w:val="center"/>
          </w:tcPr>
          <w:p w14:paraId="33871721">
            <w:pPr>
              <w:jc w:val="center"/>
              <w:rPr>
                <w:rFonts w:hint="default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合计</w:t>
            </w:r>
          </w:p>
        </w:tc>
        <w:tc>
          <w:tcPr>
            <w:tcW w:w="925" w:type="dxa"/>
            <w:noWrap w:val="0"/>
            <w:vAlign w:val="center"/>
          </w:tcPr>
          <w:p w14:paraId="143F6327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  <w:r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  <w:lang w:val="en-US" w:eastAsia="zh-CN"/>
              </w:rPr>
              <w:t>100分</w:t>
            </w:r>
          </w:p>
        </w:tc>
        <w:tc>
          <w:tcPr>
            <w:tcW w:w="911" w:type="dxa"/>
            <w:noWrap w:val="0"/>
            <w:vAlign w:val="center"/>
          </w:tcPr>
          <w:p w14:paraId="3847727E">
            <w:pPr>
              <w:jc w:val="center"/>
              <w:rPr>
                <w:rFonts w:hint="eastAsia" w:ascii="宋体" w:hAnsi="宋体" w:eastAsia="宋体" w:cs="Times New Roman"/>
                <w:sz w:val="24"/>
                <w:shd w:val="clear" w:color="auto" w:fill="FFFFFF"/>
                <w:vertAlign w:val="baseline"/>
              </w:rPr>
            </w:pPr>
          </w:p>
        </w:tc>
      </w:tr>
    </w:tbl>
    <w:p w14:paraId="1C5FC687">
      <w:pPr>
        <w:spacing w:line="336" w:lineRule="auto"/>
        <w:ind w:left="-565" w:leftChars="-405" w:hanging="285"/>
        <w:rPr>
          <w:rFonts w:hint="eastAsia" w:ascii="宋体" w:hAnsi="宋体" w:eastAsia="宋体" w:cs="Times New Roman"/>
          <w:b/>
          <w:sz w:val="24"/>
          <w:szCs w:val="24"/>
        </w:rPr>
      </w:pPr>
    </w:p>
    <w:p w14:paraId="30C11DBD">
      <w:pPr>
        <w:spacing w:line="336" w:lineRule="auto"/>
        <w:ind w:left="-565" w:leftChars="-405" w:hanging="285"/>
        <w:rPr>
          <w:rFonts w:hint="eastAsia" w:ascii="宋体" w:hAnsi="宋体" w:eastAsia="宋体" w:cs="Times New Roman"/>
          <w:b/>
          <w:sz w:val="24"/>
          <w:szCs w:val="24"/>
        </w:rPr>
      </w:pPr>
    </w:p>
    <w:p w14:paraId="171A8C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24373"/>
    <w:rsid w:val="3FA2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2026-05-25T02:02:00Z</dcterms:created>
  <dc:creator>Hitomi</dc:creator>
  <cp:lastModifiedBy>Hitomi</cp:lastModifiedBy>
  <dcterms:modified xsi:type="dcterms:W3CDTF">2026-05-25T02:06:06Z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718A823AA3A74B51B5FB2C548EEA8590_11</vt:lpwstr>
  </property>
  <property fmtid="{D5CDD505-2E9C-101B-9397-08002B2CF9AE}" pid="4" name="KSOTemplateDocerSaveRecord">
    <vt:lpwstr>eyJoZGlkIjoiMDBlZWJiNDQ2NjQ2ZjUzMDU2ODk4ZTRkZmFhNGI1M2QiLCJ1c2VySWQiOiI3MTMwOTY0NTUifQ==</vt:lpwstr>
  </property>
</Properties>
</file>