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29B5AD">
      <w:pPr>
        <w:spacing w:line="336" w:lineRule="auto"/>
        <w:rPr>
          <w:rFonts w:hint="eastAsia" w:ascii="宋体" w:hAnsi="宋体" w:eastAsia="宋体"/>
          <w:b/>
          <w:sz w:val="22"/>
          <w:szCs w:val="22"/>
          <w:lang w:eastAsia="zh-CN"/>
        </w:rPr>
      </w:pPr>
      <w:r>
        <w:rPr>
          <w:rFonts w:hint="eastAsia" w:ascii="宋体" w:hAnsi="宋体" w:eastAsia="宋体"/>
          <w:b/>
          <w:sz w:val="22"/>
          <w:szCs w:val="22"/>
        </w:rPr>
        <w:t>附件</w:t>
      </w:r>
      <w:r>
        <w:rPr>
          <w:rFonts w:hint="eastAsia" w:ascii="宋体" w:hAnsi="宋体" w:eastAsia="宋体"/>
          <w:b/>
          <w:sz w:val="22"/>
          <w:szCs w:val="22"/>
          <w:lang w:val="en-US" w:eastAsia="zh-CN"/>
        </w:rPr>
        <w:t>1</w:t>
      </w:r>
    </w:p>
    <w:p w14:paraId="161C9745">
      <w:pPr>
        <w:autoSpaceDE w:val="0"/>
        <w:autoSpaceDN w:val="0"/>
        <w:adjustRightInd w:val="0"/>
        <w:jc w:val="center"/>
        <w:rPr>
          <w:rFonts w:ascii="黑体" w:eastAsia="黑体" w:cs="黑体"/>
          <w:b/>
          <w:bCs/>
          <w:color w:val="000000"/>
          <w:kern w:val="0"/>
          <w:sz w:val="24"/>
          <w:szCs w:val="24"/>
        </w:rPr>
      </w:pPr>
      <w:r>
        <w:rPr>
          <w:rFonts w:hint="eastAsia" w:ascii="黑体" w:eastAsia="黑体" w:cs="黑体"/>
          <w:b/>
          <w:bCs/>
          <w:color w:val="000000"/>
          <w:kern w:val="0"/>
          <w:sz w:val="24"/>
          <w:szCs w:val="24"/>
        </w:rPr>
        <w:t>广东外语外贸大学南国商学院</w:t>
      </w:r>
    </w:p>
    <w:p w14:paraId="04487505">
      <w:pPr>
        <w:autoSpaceDE w:val="0"/>
        <w:autoSpaceDN w:val="0"/>
        <w:adjustRightInd w:val="0"/>
        <w:jc w:val="center"/>
        <w:rPr>
          <w:rFonts w:ascii="黑体" w:eastAsia="黑体" w:cs="黑体"/>
          <w:b/>
          <w:bCs/>
          <w:color w:val="000000"/>
          <w:kern w:val="0"/>
          <w:sz w:val="24"/>
          <w:szCs w:val="24"/>
        </w:rPr>
      </w:pPr>
      <w:r>
        <w:rPr>
          <w:rFonts w:hint="eastAsia" w:ascii="黑体" w:eastAsia="黑体" w:cs="黑体"/>
          <w:b/>
          <w:bCs/>
          <w:color w:val="000000"/>
          <w:kern w:val="0"/>
          <w:sz w:val="24"/>
          <w:szCs w:val="24"/>
        </w:rPr>
        <w:t xml:space="preserve"> “随时随地学外语·讲外语·用外语”</w:t>
      </w:r>
    </w:p>
    <w:p w14:paraId="104EC4EB">
      <w:pPr>
        <w:autoSpaceDE w:val="0"/>
        <w:autoSpaceDN w:val="0"/>
        <w:adjustRightInd w:val="0"/>
        <w:jc w:val="center"/>
        <w:rPr>
          <w:rFonts w:ascii="黑体" w:eastAsia="黑体" w:cs="黑体"/>
          <w:color w:val="000000"/>
          <w:kern w:val="0"/>
          <w:sz w:val="24"/>
          <w:szCs w:val="24"/>
        </w:rPr>
      </w:pPr>
      <w:r>
        <w:rPr>
          <w:rFonts w:hint="eastAsia" w:ascii="黑体" w:eastAsia="黑体" w:cs="黑体"/>
          <w:b/>
          <w:bCs/>
          <w:color w:val="000000"/>
          <w:kern w:val="0"/>
          <w:sz w:val="24"/>
          <w:szCs w:val="24"/>
        </w:rPr>
        <w:t>外语类单位工作考核评审指标（修订稿）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"/>
        <w:gridCol w:w="2475"/>
        <w:gridCol w:w="3310"/>
        <w:gridCol w:w="925"/>
        <w:gridCol w:w="911"/>
      </w:tblGrid>
      <w:tr w14:paraId="61349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noWrap w:val="0"/>
            <w:vAlign w:val="center"/>
          </w:tcPr>
          <w:p w14:paraId="5EC56D33">
            <w:pPr>
              <w:jc w:val="center"/>
              <w:rPr>
                <w:rFonts w:hint="eastAsia" w:ascii="宋体" w:hAnsi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指标</w:t>
            </w:r>
          </w:p>
        </w:tc>
        <w:tc>
          <w:tcPr>
            <w:tcW w:w="5785" w:type="dxa"/>
            <w:gridSpan w:val="2"/>
            <w:noWrap w:val="0"/>
            <w:vAlign w:val="center"/>
          </w:tcPr>
          <w:p w14:paraId="070D3501">
            <w:pPr>
              <w:jc w:val="center"/>
              <w:rPr>
                <w:rFonts w:hint="eastAsia" w:ascii="宋体" w:hAnsi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</w:rPr>
              <w:t>主要内涵</w:t>
            </w:r>
          </w:p>
        </w:tc>
        <w:tc>
          <w:tcPr>
            <w:tcW w:w="925" w:type="dxa"/>
            <w:noWrap w:val="0"/>
            <w:vAlign w:val="center"/>
          </w:tcPr>
          <w:p w14:paraId="6019ACE7">
            <w:pPr>
              <w:jc w:val="center"/>
              <w:rPr>
                <w:rFonts w:hint="eastAsia" w:ascii="宋体" w:hAnsi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满分</w:t>
            </w:r>
          </w:p>
        </w:tc>
        <w:tc>
          <w:tcPr>
            <w:tcW w:w="911" w:type="dxa"/>
            <w:noWrap w:val="0"/>
            <w:vAlign w:val="center"/>
          </w:tcPr>
          <w:p w14:paraId="6B436077">
            <w:pPr>
              <w:jc w:val="center"/>
              <w:rPr>
                <w:rFonts w:hint="eastAsia" w:ascii="宋体" w:hAnsi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得分</w:t>
            </w:r>
          </w:p>
        </w:tc>
      </w:tr>
      <w:tr w14:paraId="57F71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898" w:type="dxa"/>
            <w:noWrap w:val="0"/>
            <w:vAlign w:val="center"/>
          </w:tcPr>
          <w:p w14:paraId="53B75948">
            <w:pPr>
              <w:jc w:val="center"/>
              <w:rPr>
                <w:rFonts w:hint="eastAsia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晨读</w:t>
            </w:r>
          </w:p>
        </w:tc>
        <w:tc>
          <w:tcPr>
            <w:tcW w:w="5785" w:type="dxa"/>
            <w:gridSpan w:val="2"/>
            <w:noWrap w:val="0"/>
            <w:vAlign w:val="center"/>
          </w:tcPr>
          <w:p w14:paraId="4F4C4CF6"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学院班级晨读情况</w:t>
            </w:r>
          </w:p>
        </w:tc>
        <w:tc>
          <w:tcPr>
            <w:tcW w:w="925" w:type="dxa"/>
            <w:noWrap w:val="0"/>
            <w:vAlign w:val="center"/>
          </w:tcPr>
          <w:p w14:paraId="123E7106"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60分</w:t>
            </w:r>
          </w:p>
        </w:tc>
        <w:tc>
          <w:tcPr>
            <w:tcW w:w="911" w:type="dxa"/>
            <w:noWrap w:val="0"/>
            <w:vAlign w:val="center"/>
          </w:tcPr>
          <w:p w14:paraId="3C670582"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</w:p>
        </w:tc>
      </w:tr>
      <w:tr w14:paraId="1EFD4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vMerge w:val="restart"/>
            <w:noWrap w:val="0"/>
            <w:vAlign w:val="center"/>
          </w:tcPr>
          <w:p w14:paraId="377C7A81"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学生活动</w:t>
            </w:r>
          </w:p>
        </w:tc>
        <w:tc>
          <w:tcPr>
            <w:tcW w:w="2475" w:type="dxa"/>
            <w:vMerge w:val="restart"/>
            <w:noWrap w:val="0"/>
            <w:vAlign w:val="center"/>
          </w:tcPr>
          <w:p w14:paraId="7212AA2D"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  <w:t>“随时随地学外语·讲外语·用外语”</w:t>
            </w:r>
          </w:p>
          <w:p w14:paraId="6BEFC9E3"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学生活动开展情况</w:t>
            </w:r>
          </w:p>
        </w:tc>
        <w:tc>
          <w:tcPr>
            <w:tcW w:w="3310" w:type="dxa"/>
            <w:noWrap w:val="0"/>
            <w:vAlign w:val="center"/>
          </w:tcPr>
          <w:p w14:paraId="6284268A">
            <w:pPr>
              <w:jc w:val="left"/>
              <w:rPr>
                <w:rFonts w:hint="default" w:ascii="宋体" w:hAnsi="宋体" w:eastAsia="宋体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highlight w:val="none"/>
              </w:rPr>
              <w:t>品牌课外实践教学活动开展材料：活动方案、实施情况等。</w:t>
            </w:r>
          </w:p>
        </w:tc>
        <w:tc>
          <w:tcPr>
            <w:tcW w:w="925" w:type="dxa"/>
            <w:vMerge w:val="restart"/>
            <w:noWrap w:val="0"/>
            <w:vAlign w:val="center"/>
          </w:tcPr>
          <w:p w14:paraId="2C5C08CE"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30分</w:t>
            </w:r>
          </w:p>
        </w:tc>
        <w:tc>
          <w:tcPr>
            <w:tcW w:w="911" w:type="dxa"/>
            <w:vMerge w:val="restart"/>
            <w:noWrap w:val="0"/>
            <w:vAlign w:val="center"/>
          </w:tcPr>
          <w:p w14:paraId="2AE3048E"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</w:p>
        </w:tc>
      </w:tr>
      <w:tr w14:paraId="1B3D0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vMerge w:val="continue"/>
            <w:noWrap w:val="0"/>
            <w:vAlign w:val="center"/>
          </w:tcPr>
          <w:p w14:paraId="06336BDD">
            <w:pPr>
              <w:jc w:val="center"/>
            </w:pPr>
          </w:p>
        </w:tc>
        <w:tc>
          <w:tcPr>
            <w:tcW w:w="2475" w:type="dxa"/>
            <w:vMerge w:val="continue"/>
            <w:noWrap w:val="0"/>
            <w:vAlign w:val="center"/>
          </w:tcPr>
          <w:p w14:paraId="14847E6E">
            <w:pPr>
              <w:jc w:val="center"/>
            </w:pPr>
          </w:p>
        </w:tc>
        <w:tc>
          <w:tcPr>
            <w:tcW w:w="3310" w:type="dxa"/>
            <w:noWrap w:val="0"/>
            <w:vAlign w:val="center"/>
          </w:tcPr>
          <w:p w14:paraId="08FA1AC6">
            <w:pPr>
              <w:jc w:val="left"/>
              <w:rPr>
                <w:rFonts w:hint="default" w:ascii="宋体" w:hAnsi="宋体" w:eastAsia="宋体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学生在外语竞赛中获奖情况。</w:t>
            </w:r>
          </w:p>
        </w:tc>
        <w:tc>
          <w:tcPr>
            <w:tcW w:w="925" w:type="dxa"/>
            <w:vMerge w:val="continue"/>
            <w:noWrap w:val="0"/>
            <w:vAlign w:val="center"/>
          </w:tcPr>
          <w:p w14:paraId="50471237"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911" w:type="dxa"/>
            <w:vMerge w:val="continue"/>
            <w:noWrap w:val="0"/>
            <w:vAlign w:val="center"/>
          </w:tcPr>
          <w:p w14:paraId="3996445C"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 w14:paraId="5626F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vMerge w:val="continue"/>
            <w:noWrap w:val="0"/>
            <w:vAlign w:val="center"/>
          </w:tcPr>
          <w:p w14:paraId="58BA51C2"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475" w:type="dxa"/>
            <w:vMerge w:val="continue"/>
            <w:noWrap w:val="0"/>
            <w:vAlign w:val="center"/>
          </w:tcPr>
          <w:p w14:paraId="62537A60"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3310" w:type="dxa"/>
            <w:noWrap w:val="0"/>
            <w:vAlign w:val="center"/>
          </w:tcPr>
          <w:p w14:paraId="4FC37F5B">
            <w:pPr>
              <w:jc w:val="left"/>
              <w:rPr>
                <w:rFonts w:hint="eastAsia" w:ascii="宋体" w:hAnsi="宋体" w:eastAsia="宋体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</w:rPr>
              <w:t>专业外语考级情况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925" w:type="dxa"/>
            <w:vMerge w:val="continue"/>
            <w:noWrap w:val="0"/>
            <w:vAlign w:val="center"/>
          </w:tcPr>
          <w:p w14:paraId="5364271C"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911" w:type="dxa"/>
            <w:vMerge w:val="continue"/>
            <w:noWrap w:val="0"/>
            <w:vAlign w:val="center"/>
          </w:tcPr>
          <w:p w14:paraId="1AFFE7B3"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 w14:paraId="344F5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vMerge w:val="continue"/>
            <w:noWrap w:val="0"/>
            <w:vAlign w:val="center"/>
          </w:tcPr>
          <w:p w14:paraId="1E24296F"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475" w:type="dxa"/>
            <w:vMerge w:val="continue"/>
            <w:noWrap w:val="0"/>
            <w:vAlign w:val="center"/>
          </w:tcPr>
          <w:p w14:paraId="2DEF1FE6"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3310" w:type="dxa"/>
            <w:noWrap w:val="0"/>
            <w:vAlign w:val="center"/>
          </w:tcPr>
          <w:p w14:paraId="69CF23AB">
            <w:pPr>
              <w:jc w:val="left"/>
              <w:rPr>
                <w:rFonts w:hint="default" w:ascii="宋体" w:hAnsi="宋体" w:eastAsia="宋体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</w:rPr>
              <w:t>围绕“一体两翼”的人才培养模式，全面提高学生外语能力和实践能力，提升核心竞争力，推行的外语教学改革的项目和活动等。</w:t>
            </w:r>
          </w:p>
        </w:tc>
        <w:tc>
          <w:tcPr>
            <w:tcW w:w="925" w:type="dxa"/>
            <w:vMerge w:val="continue"/>
            <w:noWrap w:val="0"/>
            <w:vAlign w:val="center"/>
          </w:tcPr>
          <w:p w14:paraId="2654265A"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911" w:type="dxa"/>
            <w:vMerge w:val="continue"/>
            <w:noWrap w:val="0"/>
            <w:vAlign w:val="center"/>
          </w:tcPr>
          <w:p w14:paraId="3C6F64DA"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 w14:paraId="105E3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898" w:type="dxa"/>
            <w:noWrap w:val="0"/>
            <w:vAlign w:val="center"/>
          </w:tcPr>
          <w:p w14:paraId="58FF7C73"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学院教师</w:t>
            </w:r>
          </w:p>
          <w:p w14:paraId="393F029B"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专业活动</w:t>
            </w:r>
          </w:p>
        </w:tc>
        <w:tc>
          <w:tcPr>
            <w:tcW w:w="5785" w:type="dxa"/>
            <w:gridSpan w:val="2"/>
            <w:noWrap w:val="0"/>
            <w:vAlign w:val="center"/>
          </w:tcPr>
          <w:p w14:paraId="3DC43D21"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学院教师专业会议使用外语情况</w:t>
            </w:r>
          </w:p>
        </w:tc>
        <w:tc>
          <w:tcPr>
            <w:tcW w:w="925" w:type="dxa"/>
            <w:noWrap w:val="0"/>
            <w:vAlign w:val="center"/>
          </w:tcPr>
          <w:p w14:paraId="76DCB1F3"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10分</w:t>
            </w:r>
          </w:p>
        </w:tc>
        <w:tc>
          <w:tcPr>
            <w:tcW w:w="911" w:type="dxa"/>
            <w:noWrap w:val="0"/>
            <w:vAlign w:val="center"/>
          </w:tcPr>
          <w:p w14:paraId="56A0924D"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</w:p>
        </w:tc>
      </w:tr>
      <w:tr w14:paraId="2301E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83" w:type="dxa"/>
            <w:gridSpan w:val="3"/>
            <w:noWrap w:val="0"/>
            <w:vAlign w:val="center"/>
          </w:tcPr>
          <w:p w14:paraId="58AC8C3A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合计</w:t>
            </w:r>
          </w:p>
        </w:tc>
        <w:tc>
          <w:tcPr>
            <w:tcW w:w="925" w:type="dxa"/>
            <w:noWrap w:val="0"/>
            <w:vAlign w:val="center"/>
          </w:tcPr>
          <w:p w14:paraId="44ED39CC"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100分</w:t>
            </w:r>
          </w:p>
        </w:tc>
        <w:tc>
          <w:tcPr>
            <w:tcW w:w="911" w:type="dxa"/>
            <w:noWrap w:val="0"/>
            <w:vAlign w:val="center"/>
          </w:tcPr>
          <w:p w14:paraId="0E0F01C0"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</w:p>
        </w:tc>
      </w:tr>
    </w:tbl>
    <w:p w14:paraId="0383E16D">
      <w:pPr>
        <w:rPr>
          <w:rFonts w:hint="eastAsia" w:ascii="宋体" w:hAnsi="宋体"/>
          <w:sz w:val="24"/>
          <w:shd w:val="clear" w:color="auto" w:fill="FFFFFF"/>
        </w:rPr>
      </w:pPr>
    </w:p>
    <w:p w14:paraId="0D98F07D">
      <w:pPr>
        <w:autoSpaceDE w:val="0"/>
        <w:autoSpaceDN w:val="0"/>
        <w:adjustRightInd w:val="0"/>
        <w:jc w:val="center"/>
        <w:rPr>
          <w:rFonts w:ascii="黑体" w:eastAsia="黑体" w:cs="黑体"/>
          <w:b/>
          <w:bCs/>
          <w:color w:val="000000"/>
          <w:kern w:val="0"/>
          <w:sz w:val="24"/>
          <w:szCs w:val="24"/>
        </w:rPr>
      </w:pPr>
      <w:r>
        <w:rPr>
          <w:rFonts w:hint="eastAsia" w:ascii="黑体" w:eastAsia="黑体" w:cs="黑体"/>
          <w:b/>
          <w:bCs/>
          <w:color w:val="000000"/>
          <w:kern w:val="0"/>
          <w:sz w:val="24"/>
          <w:szCs w:val="24"/>
        </w:rPr>
        <w:t>广东外语外贸大学南国商学院</w:t>
      </w:r>
    </w:p>
    <w:p w14:paraId="42618310">
      <w:pPr>
        <w:autoSpaceDE w:val="0"/>
        <w:autoSpaceDN w:val="0"/>
        <w:adjustRightInd w:val="0"/>
        <w:jc w:val="center"/>
        <w:rPr>
          <w:rFonts w:ascii="黑体" w:eastAsia="黑体" w:cs="黑体"/>
          <w:b/>
          <w:bCs/>
          <w:color w:val="000000"/>
          <w:kern w:val="0"/>
          <w:sz w:val="24"/>
          <w:szCs w:val="24"/>
        </w:rPr>
      </w:pPr>
      <w:r>
        <w:rPr>
          <w:rFonts w:hint="eastAsia" w:ascii="黑体" w:eastAsia="黑体" w:cs="黑体"/>
          <w:b/>
          <w:bCs/>
          <w:color w:val="000000"/>
          <w:kern w:val="0"/>
          <w:sz w:val="24"/>
          <w:szCs w:val="24"/>
        </w:rPr>
        <w:t xml:space="preserve"> “随时随地学外语·讲外语·用外语”</w:t>
      </w:r>
    </w:p>
    <w:p w14:paraId="18BFD84E">
      <w:pPr>
        <w:autoSpaceDE w:val="0"/>
        <w:autoSpaceDN w:val="0"/>
        <w:adjustRightInd w:val="0"/>
        <w:jc w:val="center"/>
        <w:rPr>
          <w:rFonts w:ascii="黑体" w:eastAsia="黑体" w:cs="黑体"/>
          <w:color w:val="000000"/>
          <w:kern w:val="0"/>
          <w:sz w:val="24"/>
          <w:szCs w:val="24"/>
        </w:rPr>
      </w:pPr>
      <w:r>
        <w:rPr>
          <w:rFonts w:hint="eastAsia" w:ascii="黑体" w:eastAsia="黑体" w:cs="黑体"/>
          <w:b/>
          <w:bCs/>
          <w:color w:val="000000"/>
          <w:kern w:val="0"/>
          <w:sz w:val="24"/>
          <w:szCs w:val="24"/>
          <w:lang w:val="en-US" w:eastAsia="zh-CN"/>
        </w:rPr>
        <w:t>非</w:t>
      </w:r>
      <w:r>
        <w:rPr>
          <w:rFonts w:hint="eastAsia" w:ascii="黑体" w:eastAsia="黑体" w:cs="黑体"/>
          <w:b/>
          <w:bCs/>
          <w:color w:val="000000"/>
          <w:kern w:val="0"/>
          <w:sz w:val="24"/>
          <w:szCs w:val="24"/>
        </w:rPr>
        <w:t>外语类单位工作考核评审指标（修订稿）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"/>
        <w:gridCol w:w="2475"/>
        <w:gridCol w:w="3310"/>
        <w:gridCol w:w="925"/>
        <w:gridCol w:w="911"/>
      </w:tblGrid>
      <w:tr w14:paraId="06112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898" w:type="dxa"/>
            <w:noWrap w:val="0"/>
            <w:vAlign w:val="center"/>
          </w:tcPr>
          <w:p w14:paraId="24EE6873">
            <w:pPr>
              <w:jc w:val="center"/>
              <w:rPr>
                <w:rFonts w:hint="eastAsia" w:ascii="宋体" w:hAnsi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指标</w:t>
            </w:r>
          </w:p>
        </w:tc>
        <w:tc>
          <w:tcPr>
            <w:tcW w:w="5785" w:type="dxa"/>
            <w:gridSpan w:val="2"/>
            <w:noWrap w:val="0"/>
            <w:vAlign w:val="center"/>
          </w:tcPr>
          <w:p w14:paraId="66756506">
            <w:pPr>
              <w:jc w:val="center"/>
              <w:rPr>
                <w:rFonts w:hint="eastAsia" w:ascii="宋体" w:hAnsi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</w:rPr>
              <w:t>主要内涵</w:t>
            </w:r>
          </w:p>
        </w:tc>
        <w:tc>
          <w:tcPr>
            <w:tcW w:w="925" w:type="dxa"/>
            <w:noWrap w:val="0"/>
            <w:vAlign w:val="center"/>
          </w:tcPr>
          <w:p w14:paraId="46F6299F">
            <w:pPr>
              <w:jc w:val="center"/>
              <w:rPr>
                <w:rFonts w:hint="eastAsia" w:ascii="宋体" w:hAnsi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满分</w:t>
            </w:r>
          </w:p>
        </w:tc>
        <w:tc>
          <w:tcPr>
            <w:tcW w:w="911" w:type="dxa"/>
            <w:noWrap w:val="0"/>
            <w:vAlign w:val="center"/>
          </w:tcPr>
          <w:p w14:paraId="71214BAC">
            <w:pPr>
              <w:jc w:val="center"/>
              <w:rPr>
                <w:rFonts w:hint="eastAsia" w:ascii="宋体" w:hAnsi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得分</w:t>
            </w:r>
          </w:p>
        </w:tc>
      </w:tr>
      <w:tr w14:paraId="46A9D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898" w:type="dxa"/>
            <w:noWrap w:val="0"/>
            <w:vAlign w:val="center"/>
          </w:tcPr>
          <w:p w14:paraId="53AC2429">
            <w:pPr>
              <w:jc w:val="center"/>
              <w:rPr>
                <w:rFonts w:hint="eastAsia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晨读</w:t>
            </w:r>
          </w:p>
        </w:tc>
        <w:tc>
          <w:tcPr>
            <w:tcW w:w="5785" w:type="dxa"/>
            <w:gridSpan w:val="2"/>
            <w:noWrap w:val="0"/>
            <w:vAlign w:val="center"/>
          </w:tcPr>
          <w:p w14:paraId="3AF300E4"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学院班级晨读情况</w:t>
            </w:r>
          </w:p>
        </w:tc>
        <w:tc>
          <w:tcPr>
            <w:tcW w:w="925" w:type="dxa"/>
            <w:noWrap w:val="0"/>
            <w:vAlign w:val="center"/>
          </w:tcPr>
          <w:p w14:paraId="2C166C18"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60分</w:t>
            </w:r>
          </w:p>
        </w:tc>
        <w:tc>
          <w:tcPr>
            <w:tcW w:w="911" w:type="dxa"/>
            <w:noWrap w:val="0"/>
            <w:vAlign w:val="center"/>
          </w:tcPr>
          <w:p w14:paraId="194C095F"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</w:p>
        </w:tc>
      </w:tr>
      <w:tr w14:paraId="7E03E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vMerge w:val="restart"/>
            <w:noWrap w:val="0"/>
            <w:vAlign w:val="center"/>
          </w:tcPr>
          <w:p w14:paraId="6BD4BB60"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学生活动</w:t>
            </w:r>
          </w:p>
        </w:tc>
        <w:tc>
          <w:tcPr>
            <w:tcW w:w="2475" w:type="dxa"/>
            <w:vMerge w:val="restart"/>
            <w:noWrap w:val="0"/>
            <w:vAlign w:val="center"/>
          </w:tcPr>
          <w:p w14:paraId="707F260E"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  <w:t>“随时随地学外语·讲外语·用外语”</w:t>
            </w:r>
          </w:p>
          <w:p w14:paraId="725CB031"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学生活动开展情况</w:t>
            </w:r>
          </w:p>
        </w:tc>
        <w:tc>
          <w:tcPr>
            <w:tcW w:w="3310" w:type="dxa"/>
            <w:noWrap w:val="0"/>
            <w:vAlign w:val="center"/>
          </w:tcPr>
          <w:p w14:paraId="59C356A3">
            <w:pPr>
              <w:jc w:val="left"/>
              <w:rPr>
                <w:rFonts w:hint="default" w:ascii="宋体" w:hAnsi="宋体" w:eastAsia="宋体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highlight w:val="none"/>
              </w:rPr>
              <w:t>品牌课外实践教学活动开展材料：活动方案、实施情况等。</w:t>
            </w:r>
          </w:p>
        </w:tc>
        <w:tc>
          <w:tcPr>
            <w:tcW w:w="925" w:type="dxa"/>
            <w:vMerge w:val="restart"/>
            <w:noWrap w:val="0"/>
            <w:vAlign w:val="center"/>
          </w:tcPr>
          <w:p w14:paraId="79347856"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40分</w:t>
            </w:r>
          </w:p>
        </w:tc>
        <w:tc>
          <w:tcPr>
            <w:tcW w:w="911" w:type="dxa"/>
            <w:vMerge w:val="restart"/>
            <w:noWrap w:val="0"/>
            <w:vAlign w:val="center"/>
          </w:tcPr>
          <w:p w14:paraId="06AA3CB4"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</w:p>
        </w:tc>
      </w:tr>
      <w:tr w14:paraId="45427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898" w:type="dxa"/>
            <w:vMerge w:val="continue"/>
            <w:noWrap w:val="0"/>
            <w:vAlign w:val="center"/>
          </w:tcPr>
          <w:p w14:paraId="6F0A1E9B">
            <w:pPr>
              <w:jc w:val="center"/>
            </w:pPr>
          </w:p>
        </w:tc>
        <w:tc>
          <w:tcPr>
            <w:tcW w:w="2475" w:type="dxa"/>
            <w:vMerge w:val="continue"/>
            <w:noWrap w:val="0"/>
            <w:vAlign w:val="center"/>
          </w:tcPr>
          <w:p w14:paraId="1D5C34EC">
            <w:pPr>
              <w:jc w:val="center"/>
            </w:pPr>
          </w:p>
        </w:tc>
        <w:tc>
          <w:tcPr>
            <w:tcW w:w="3310" w:type="dxa"/>
            <w:noWrap w:val="0"/>
            <w:vAlign w:val="center"/>
          </w:tcPr>
          <w:p w14:paraId="7F78FA5F">
            <w:pPr>
              <w:jc w:val="left"/>
              <w:rPr>
                <w:rFonts w:hint="default" w:ascii="宋体" w:hAnsi="宋体" w:eastAsia="宋体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学生在外语竞赛中获奖情况。</w:t>
            </w:r>
          </w:p>
        </w:tc>
        <w:tc>
          <w:tcPr>
            <w:tcW w:w="925" w:type="dxa"/>
            <w:vMerge w:val="continue"/>
            <w:noWrap w:val="0"/>
            <w:vAlign w:val="center"/>
          </w:tcPr>
          <w:p w14:paraId="52D5DC67"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911" w:type="dxa"/>
            <w:vMerge w:val="continue"/>
            <w:noWrap w:val="0"/>
            <w:vAlign w:val="center"/>
          </w:tcPr>
          <w:p w14:paraId="5A8A7175"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 w14:paraId="725FB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98" w:type="dxa"/>
            <w:vMerge w:val="continue"/>
            <w:noWrap w:val="0"/>
            <w:vAlign w:val="center"/>
          </w:tcPr>
          <w:p w14:paraId="1A3CF6E8"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475" w:type="dxa"/>
            <w:vMerge w:val="continue"/>
            <w:noWrap w:val="0"/>
            <w:vAlign w:val="center"/>
          </w:tcPr>
          <w:p w14:paraId="07C94829"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3310" w:type="dxa"/>
            <w:noWrap w:val="0"/>
            <w:vAlign w:val="center"/>
          </w:tcPr>
          <w:p w14:paraId="1DB5163E">
            <w:pPr>
              <w:jc w:val="left"/>
              <w:rPr>
                <w:rFonts w:hint="eastAsia" w:ascii="宋体" w:hAnsi="宋体" w:eastAsia="宋体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</w:rPr>
              <w:t>大学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英语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</w:rPr>
              <w:t>四六级考级情况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925" w:type="dxa"/>
            <w:vMerge w:val="continue"/>
            <w:noWrap w:val="0"/>
            <w:vAlign w:val="center"/>
          </w:tcPr>
          <w:p w14:paraId="565B63EB"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911" w:type="dxa"/>
            <w:vMerge w:val="continue"/>
            <w:noWrap w:val="0"/>
            <w:vAlign w:val="center"/>
          </w:tcPr>
          <w:p w14:paraId="4C8C2ED2"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 w14:paraId="1025B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898" w:type="dxa"/>
            <w:vMerge w:val="continue"/>
            <w:noWrap w:val="0"/>
            <w:vAlign w:val="center"/>
          </w:tcPr>
          <w:p w14:paraId="3FF51207"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475" w:type="dxa"/>
            <w:vMerge w:val="continue"/>
            <w:noWrap w:val="0"/>
            <w:vAlign w:val="center"/>
          </w:tcPr>
          <w:p w14:paraId="7A3382A5"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3310" w:type="dxa"/>
            <w:noWrap w:val="0"/>
            <w:vAlign w:val="center"/>
          </w:tcPr>
          <w:p w14:paraId="0318611F">
            <w:pPr>
              <w:jc w:val="left"/>
              <w:rPr>
                <w:rFonts w:hint="default" w:ascii="宋体" w:hAnsi="宋体" w:eastAsia="宋体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</w:rPr>
              <w:t>围绕“一体两翼”的人才培养模式，全面提高学生外语能力和实践能力，提升核心竞争力，推行的外语教学改革的项目和活动等。</w:t>
            </w:r>
          </w:p>
        </w:tc>
        <w:tc>
          <w:tcPr>
            <w:tcW w:w="925" w:type="dxa"/>
            <w:vMerge w:val="continue"/>
            <w:noWrap w:val="0"/>
            <w:vAlign w:val="center"/>
          </w:tcPr>
          <w:p w14:paraId="0D753381"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911" w:type="dxa"/>
            <w:vMerge w:val="continue"/>
            <w:noWrap w:val="0"/>
            <w:vAlign w:val="center"/>
          </w:tcPr>
          <w:p w14:paraId="562ED09C"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 w14:paraId="07074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83" w:type="dxa"/>
            <w:gridSpan w:val="3"/>
            <w:noWrap w:val="0"/>
            <w:vAlign w:val="center"/>
          </w:tcPr>
          <w:p w14:paraId="33871721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合计</w:t>
            </w:r>
          </w:p>
        </w:tc>
        <w:tc>
          <w:tcPr>
            <w:tcW w:w="925" w:type="dxa"/>
            <w:noWrap w:val="0"/>
            <w:vAlign w:val="center"/>
          </w:tcPr>
          <w:p w14:paraId="143F6327"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100分</w:t>
            </w:r>
          </w:p>
        </w:tc>
        <w:tc>
          <w:tcPr>
            <w:tcW w:w="911" w:type="dxa"/>
            <w:noWrap w:val="0"/>
            <w:vAlign w:val="center"/>
          </w:tcPr>
          <w:p w14:paraId="3847727E"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</w:p>
        </w:tc>
      </w:tr>
    </w:tbl>
    <w:p w14:paraId="1C5FC687">
      <w:pPr>
        <w:spacing w:line="336" w:lineRule="auto"/>
        <w:ind w:left="-565" w:leftChars="-405" w:hanging="285"/>
        <w:rPr>
          <w:rFonts w:hint="eastAsia" w:ascii="宋体" w:hAnsi="宋体" w:eastAsia="宋体"/>
          <w:b/>
          <w:sz w:val="24"/>
          <w:szCs w:val="24"/>
        </w:rPr>
      </w:pPr>
    </w:p>
    <w:p w14:paraId="30C11DBD">
      <w:pPr>
        <w:spacing w:line="336" w:lineRule="auto"/>
        <w:ind w:left="-565" w:leftChars="-405" w:hanging="285"/>
        <w:rPr>
          <w:rFonts w:hint="eastAsia" w:ascii="宋体" w:hAnsi="宋体" w:eastAsia="宋体"/>
          <w:b/>
          <w:sz w:val="24"/>
          <w:szCs w:val="24"/>
        </w:rPr>
      </w:pPr>
    </w:p>
    <w:p w14:paraId="60D346E0">
      <w:pPr>
        <w:spacing w:line="336" w:lineRule="auto"/>
        <w:ind w:left="-565" w:leftChars="-405" w:hanging="285"/>
        <w:rPr>
          <w:rFonts w:hint="eastAsia" w:ascii="宋体" w:hAnsi="宋体" w:eastAsia="宋体"/>
          <w:b/>
          <w:sz w:val="22"/>
          <w:szCs w:val="22"/>
        </w:rPr>
      </w:pPr>
    </w:p>
    <w:p w14:paraId="18D491CE">
      <w:pPr>
        <w:spacing w:line="336" w:lineRule="auto"/>
        <w:ind w:left="-565" w:leftChars="-405" w:hanging="285"/>
        <w:rPr>
          <w:rFonts w:hint="eastAsia" w:ascii="宋体" w:hAnsi="宋体" w:eastAsia="宋体"/>
          <w:b/>
          <w:sz w:val="22"/>
          <w:szCs w:val="22"/>
          <w:lang w:eastAsia="zh-CN"/>
        </w:rPr>
      </w:pPr>
      <w:r>
        <w:rPr>
          <w:rFonts w:hint="eastAsia" w:ascii="宋体" w:hAnsi="宋体" w:eastAsia="宋体"/>
          <w:b/>
          <w:sz w:val="22"/>
          <w:szCs w:val="22"/>
        </w:rPr>
        <w:t>附件</w:t>
      </w:r>
      <w:r>
        <w:rPr>
          <w:rFonts w:hint="eastAsia" w:ascii="宋体" w:hAnsi="宋体" w:eastAsia="宋体"/>
          <w:b/>
          <w:sz w:val="22"/>
          <w:szCs w:val="22"/>
          <w:lang w:val="en-US" w:eastAsia="zh-CN"/>
        </w:rPr>
        <w:t>2：</w:t>
      </w:r>
    </w:p>
    <w:tbl>
      <w:tblPr>
        <w:tblStyle w:val="4"/>
        <w:tblW w:w="0" w:type="auto"/>
        <w:tblInd w:w="-8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1650"/>
        <w:gridCol w:w="1550"/>
        <w:gridCol w:w="1250"/>
        <w:gridCol w:w="1200"/>
        <w:gridCol w:w="1425"/>
        <w:gridCol w:w="1391"/>
      </w:tblGrid>
      <w:tr w14:paraId="24EC1E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96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0E96773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20</w:t>
            </w:r>
            <w:r>
              <w:rPr>
                <w:rFonts w:hint="default" w:ascii="Arial" w:hAnsi="Arial" w:cs="Arial"/>
                <w:b/>
                <w:bCs/>
                <w:color w:val="000000"/>
                <w:kern w:val="0"/>
                <w:sz w:val="28"/>
                <w:szCs w:val="28"/>
              </w:rPr>
              <w:t>××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-20</w:t>
            </w:r>
            <w:r>
              <w:rPr>
                <w:rFonts w:hint="default" w:ascii="Arial" w:hAnsi="Arial" w:cs="Arial"/>
                <w:b/>
                <w:bCs/>
                <w:color w:val="000000"/>
                <w:kern w:val="0"/>
                <w:sz w:val="28"/>
                <w:szCs w:val="28"/>
              </w:rPr>
              <w:t>××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学年度第</w:t>
            </w:r>
            <w:r>
              <w:rPr>
                <w:rFonts w:hint="default" w:ascii="Arial" w:hAnsi="Arial" w:cs="Arial"/>
                <w:b/>
                <w:bCs/>
                <w:color w:val="000000"/>
                <w:kern w:val="0"/>
                <w:sz w:val="28"/>
                <w:szCs w:val="28"/>
              </w:rPr>
              <w:t>×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学期“随时随地学外语•讲外语•用外语”活动</w:t>
            </w:r>
          </w:p>
          <w:p w14:paraId="228F55F4">
            <w:pPr>
              <w:widowControl/>
              <w:ind w:left="-659" w:leftChars="-314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晨读抽检汇总</w:t>
            </w:r>
          </w:p>
        </w:tc>
      </w:tr>
      <w:tr w14:paraId="11B7B2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9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5460C6C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学院</w:t>
            </w:r>
          </w:p>
        </w:tc>
        <w:tc>
          <w:tcPr>
            <w:tcW w:w="165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3E0A014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班级</w:t>
            </w:r>
          </w:p>
        </w:tc>
        <w:tc>
          <w:tcPr>
            <w:tcW w:w="155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09E9FA7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考勤（平均率）</w:t>
            </w:r>
          </w:p>
        </w:tc>
        <w:tc>
          <w:tcPr>
            <w:tcW w:w="526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953F7E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评级（优、良、合格、不合格）</w:t>
            </w:r>
          </w:p>
        </w:tc>
      </w:tr>
      <w:tr w14:paraId="0EB9DA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9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7F7148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5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897A86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5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23E119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D14C3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优（次）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AC898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良（次）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5AE30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合格（次）</w:t>
            </w: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3ED11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不合格（次）</w:t>
            </w:r>
          </w:p>
        </w:tc>
      </w:tr>
      <w:tr w14:paraId="4CB15A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9C144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E756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57142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6454C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FC36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2508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785EC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14:paraId="159F2E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9518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F1C4E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6313F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CE7E0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50C28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BC49E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5C21B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14:paraId="18A42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F718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60AA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05C2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1486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B751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EB83F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47C2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14:paraId="4974A6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E119A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0478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4CE76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300E8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596C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CF754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9B3F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14:paraId="3FAB92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10FDA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7CB8A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8E54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3D66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4D7F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51B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017DF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14:paraId="5A4137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48D3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883B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99AD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DE22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EE8AE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6428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AAC8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14:paraId="146C30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2CBDD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2DE1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F92A6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136AE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12B85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951F4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C6301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14:paraId="205561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114B5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6507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11763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F06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A69F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6088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68EAF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14:paraId="6F648C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1F04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6DD9A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489B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F8ADB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E1837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579E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CBD2D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14:paraId="25E1FD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95966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942C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414D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BA64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90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A28EF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18EC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14:paraId="681FB0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5649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621B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9D2E3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F197A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93BCC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A023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AC34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14:paraId="0CF260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DED9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377E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8021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57FC0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07D2C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52412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6671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14:paraId="7627B0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DC850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0A1D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4429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9BDA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B686C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C237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99D1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14:paraId="68571A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F5AE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A199B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BA19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8FA42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44CB3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F29A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652F6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14:paraId="4D2110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78B2F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CD4D4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E51C2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98FF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9A32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5622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60DCF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14:paraId="3148C2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E04A8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212D2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D90DF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56F9D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DE687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5E3B9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1082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14:paraId="0D6DC4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A5827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2453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0E9D7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3341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9C3F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AA15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38DD9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14:paraId="7A4A0C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15BB3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E52E0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868F6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995DF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FCEA6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4693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9B247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14:paraId="1DF1F3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EDDD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BD44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2B44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47FF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6C30D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ED56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67B9B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14:paraId="20CE65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78259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注：每班级每学期抽查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7次及以上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。</w:t>
            </w:r>
          </w:p>
        </w:tc>
      </w:tr>
      <w:tr w14:paraId="5CE4F5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60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55DD5E9">
            <w:pPr>
              <w:widowControl/>
              <w:spacing w:after="240"/>
              <w:jc w:val="left"/>
              <w:rPr>
                <w:rFonts w:hint="eastAsia" w:ascii="宋体" w:hAnsi="宋体" w:cs="宋体" w:eastAsiaTheme="minorEastAsia"/>
                <w:b/>
                <w:bCs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评价标准：</w:t>
            </w:r>
          </w:p>
          <w:p w14:paraId="5E11E802">
            <w:pPr>
              <w:widowControl/>
              <w:spacing w:after="240"/>
              <w:jc w:val="left"/>
              <w:rPr>
                <w:rFonts w:hint="eastAsia" w:ascii="宋体" w:hAnsi="宋体" w:cs="宋体" w:eastAsiaTheme="minorEastAsia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优:无迟到早退现象，精神饱满，有浓厚的读书氛围，无睡觉、吃早餐等情况。</w:t>
            </w:r>
          </w:p>
          <w:p w14:paraId="698C18F5">
            <w:pPr>
              <w:widowControl/>
              <w:spacing w:after="240"/>
              <w:jc w:val="left"/>
              <w:rPr>
                <w:rFonts w:hint="eastAsia" w:ascii="宋体" w:hAnsi="宋体" w:cs="宋体" w:eastAsiaTheme="minorEastAsia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良:无迟到早退现象，精神状态良好，有较浓厚的读书氛围，无睡觉、吃早餐等情况。</w:t>
            </w:r>
          </w:p>
          <w:p w14:paraId="0B8B2322">
            <w:pPr>
              <w:widowControl/>
              <w:spacing w:after="240"/>
              <w:jc w:val="left"/>
              <w:rPr>
                <w:rFonts w:hint="eastAsia" w:ascii="宋体" w:hAnsi="宋体" w:cs="宋体" w:eastAsiaTheme="minorEastAsia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合格:有个别迟到早退现象，精神状态良好，有一定的读书氛围，有个别睡觉、吃早餐等情况。</w:t>
            </w:r>
          </w:p>
          <w:p w14:paraId="3BD37DC4">
            <w:pPr>
              <w:widowControl/>
              <w:spacing w:after="24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差:迟到早退现象明显，精神面貌差，参与晨读人数少，睡觉、玩手机现象普遍等情况。</w:t>
            </w:r>
          </w:p>
        </w:tc>
      </w:tr>
    </w:tbl>
    <w:p w14:paraId="711C054E">
      <w:pPr>
        <w:spacing w:line="336" w:lineRule="auto"/>
        <w:jc w:val="both"/>
        <w:rPr>
          <w:rFonts w:hint="eastAsia" w:ascii="宋体" w:hAnsi="宋体"/>
          <w:b/>
          <w:sz w:val="22"/>
          <w:szCs w:val="22"/>
          <w:shd w:val="clear" w:color="auto" w:fill="auto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 w:val="22"/>
          <w:szCs w:val="22"/>
          <w:lang w:val="en-US" w:eastAsia="zh-CN"/>
        </w:rPr>
        <w:t>附件3：</w:t>
      </w:r>
      <w:r>
        <w:rPr>
          <w:rFonts w:hint="eastAsia" w:ascii="宋体" w:hAnsi="宋体"/>
          <w:b/>
          <w:sz w:val="22"/>
          <w:szCs w:val="22"/>
          <w:shd w:val="clear" w:color="auto" w:fill="auto"/>
          <w:lang w:val="en-US" w:eastAsia="zh-CN"/>
        </w:rPr>
        <w:t xml:space="preserve"> </w:t>
      </w:r>
    </w:p>
    <w:p w14:paraId="76FD14A9">
      <w:pPr>
        <w:spacing w:line="336" w:lineRule="auto"/>
        <w:jc w:val="center"/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lang w:val="en-US" w:eastAsia="zh-CN"/>
        </w:rPr>
        <w:t>“随时随地学外语•讲外语•用外语”活动先进班级评分表</w:t>
      </w:r>
    </w:p>
    <w:tbl>
      <w:tblPr>
        <w:tblStyle w:val="4"/>
        <w:tblpPr w:leftFromText="180" w:rightFromText="180" w:vertAnchor="text" w:horzAnchor="page" w:tblpX="824" w:tblpY="593"/>
        <w:tblOverlap w:val="never"/>
        <w:tblW w:w="104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3"/>
        <w:gridCol w:w="2151"/>
        <w:gridCol w:w="2956"/>
        <w:gridCol w:w="1302"/>
        <w:gridCol w:w="1363"/>
        <w:gridCol w:w="1893"/>
      </w:tblGrid>
      <w:tr w14:paraId="71F6E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1" w:hRule="atLeast"/>
        </w:trPr>
        <w:tc>
          <w:tcPr>
            <w:tcW w:w="743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FDB650E">
            <w:pPr>
              <w:jc w:val="center"/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  <w:t>序号</w:t>
            </w:r>
          </w:p>
        </w:tc>
        <w:tc>
          <w:tcPr>
            <w:tcW w:w="2151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EE2E897">
            <w:pPr>
              <w:jc w:val="center"/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  <w:t>教学单位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3B72BAA">
            <w:pPr>
              <w:jc w:val="center"/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  <w:t>班级</w:t>
            </w: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DE9D1A">
            <w:pPr>
              <w:jc w:val="center"/>
              <w:rPr>
                <w:rFonts w:hint="eastAsia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  <w:t>晨读考勤</w:t>
            </w:r>
          </w:p>
          <w:p w14:paraId="1049EEAA">
            <w:pPr>
              <w:jc w:val="center"/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  <w:t>50%</w:t>
            </w: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9371DB">
            <w:pPr>
              <w:jc w:val="center"/>
              <w:rPr>
                <w:rFonts w:hint="eastAsia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  <w:t>先进班级佐证材料</w:t>
            </w:r>
          </w:p>
          <w:p w14:paraId="33B91282">
            <w:pPr>
              <w:jc w:val="center"/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  <w:t>50%</w:t>
            </w: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C98ACE">
            <w:pPr>
              <w:jc w:val="center"/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  <w:t>备注</w:t>
            </w:r>
          </w:p>
        </w:tc>
      </w:tr>
      <w:tr w14:paraId="45A85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A43341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1</w:t>
            </w:r>
          </w:p>
        </w:tc>
        <w:tc>
          <w:tcPr>
            <w:tcW w:w="2151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27133F1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英语语言文化学院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5CED964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CB21A2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47F18B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1C2526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6E670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85CE87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2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1F0D64A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8C4A236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D9A43E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332BD9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0876A9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00ACC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853CB8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3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3351903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A3FBBAA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35E2A6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FDF25A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35505D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05F19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BA42D0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4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E465B99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56AFD4B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A15C7C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C82BF8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7FA3F9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3E4FE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2070F7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5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0ED99CB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D4173D6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2B733D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E210AE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5A5FEB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76970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D1BE1B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6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BED10E6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D51B333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A2BF01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7516E7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B7EF6B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1C3AB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1B7D43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7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C995E94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1442840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9B5060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22735C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A812D0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59123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14282D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8</w:t>
            </w:r>
          </w:p>
        </w:tc>
        <w:tc>
          <w:tcPr>
            <w:tcW w:w="2151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334A1A6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东方语言文化学院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1EC4E59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5240B2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315929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81CC03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1439E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BA9EB9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9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AE8A478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738A108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5D8427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4DF050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13357A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56B6D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BB6D32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10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56459D3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2667A1C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60988C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1D847A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B23407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6D7F4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3CA7DB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11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651D331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2EA6DCF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7A52B8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C8A6F8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AB2623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7F3D6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4D20D4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12</w:t>
            </w:r>
          </w:p>
        </w:tc>
        <w:tc>
          <w:tcPr>
            <w:tcW w:w="2151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21B9A19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西方语言文化学院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0989099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4ECDE4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419258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1BA7E8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33A1E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44A1C6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13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CFEF4E0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933EE3A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FCDCAF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78E9D9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7C23D4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2626D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391D26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14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BD6C7EE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3B92F93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1A4D01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0294C6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ADEB45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5964C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6B9829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15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C54435A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CAAB58F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3F0272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FFE8EF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73D4AD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7544B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A048DE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16</w:t>
            </w:r>
          </w:p>
        </w:tc>
        <w:tc>
          <w:tcPr>
            <w:tcW w:w="2151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4A9C88A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文化与传播学院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82B087F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18864C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DAFE08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8565AE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16CEE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6DD028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17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69677F6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5099EB6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42B29E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31F618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4E7924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131DC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EAA87B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18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B8F891A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F82F58E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6F1C2B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327E78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B50EA5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00E20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3A854F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19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8810863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6FFD2D5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7D2AFE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DFF989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EE1B79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6690A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FE6A7A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20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1DDCBB6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881BE39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2CE99F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9C2E8C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D0E2DB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27B7C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418CF1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21</w:t>
            </w:r>
          </w:p>
        </w:tc>
        <w:tc>
          <w:tcPr>
            <w:tcW w:w="2151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F36117D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经济学院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AB711FA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462D86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1C179F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F6B461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6C5A7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7BCD21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22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92C2AEC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0ECE98A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B6E40A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A4EBA8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EDBAA6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28606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016FCB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23</w:t>
            </w:r>
          </w:p>
        </w:tc>
        <w:tc>
          <w:tcPr>
            <w:tcW w:w="2151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0F4E551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管理学院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D61D292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309652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20FF32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87D667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50A34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6F5A37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24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6637C01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17C575E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BF25DF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B89277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92D0E4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52F2C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3563DD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25</w:t>
            </w:r>
          </w:p>
        </w:tc>
        <w:tc>
          <w:tcPr>
            <w:tcW w:w="2151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CDD6659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计算机学院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C599B56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A97776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5C2AA3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B07946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7E2AA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47076E"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26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435C66D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0EA60CD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3958FA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2C5639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959D1D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544CC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52D385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27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96300C2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A05E419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D9DD84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FE23FB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3D8363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6C066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F4C1B3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28</w:t>
            </w:r>
          </w:p>
        </w:tc>
        <w:tc>
          <w:tcPr>
            <w:tcW w:w="2151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467322E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教育学院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9B30935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C71FDE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706B6F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E05C85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56C09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DE075A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29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0A0AB58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0A8FB1D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3E3A28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FBCA30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9BE3B1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460EC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841DF7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30</w:t>
            </w:r>
          </w:p>
        </w:tc>
        <w:tc>
          <w:tcPr>
            <w:tcW w:w="2151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F799C05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艺术学</w:t>
            </w: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院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346FA02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2E9060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328E41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A7DFE4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04506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694071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31</w:t>
            </w:r>
          </w:p>
        </w:tc>
        <w:tc>
          <w:tcPr>
            <w:tcW w:w="2151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FB786AF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国际学院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0CEC499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B5DE98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77288F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AE1496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48FA5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1C506C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32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049BDB9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5833AE6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91E0F4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EC6D8B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19AE97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39169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FC7840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33</w:t>
            </w:r>
          </w:p>
        </w:tc>
        <w:tc>
          <w:tcPr>
            <w:tcW w:w="2151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19B57C0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大英部（创新班）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25A2352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5BAFE9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7CE61E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626222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</w:tbl>
    <w:p w14:paraId="079B7E7F">
      <w:pPr>
        <w:spacing w:line="336" w:lineRule="auto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 w14:paraId="0E815375">
      <w:pPr>
        <w:numPr>
          <w:ilvl w:val="0"/>
          <w:numId w:val="0"/>
        </w:numPr>
        <w:spacing w:line="432" w:lineRule="auto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 w14:paraId="072CB2A9">
      <w:pPr>
        <w:numPr>
          <w:ilvl w:val="0"/>
          <w:numId w:val="0"/>
        </w:numPr>
        <w:spacing w:line="432" w:lineRule="auto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 w14:paraId="5D6E1FCF">
      <w:pPr>
        <w:numPr>
          <w:ilvl w:val="0"/>
          <w:numId w:val="0"/>
        </w:numPr>
        <w:spacing w:line="432" w:lineRule="auto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 w14:paraId="73BFCC9E">
      <w:pPr>
        <w:numPr>
          <w:ilvl w:val="0"/>
          <w:numId w:val="0"/>
        </w:numPr>
        <w:spacing w:line="432" w:lineRule="auto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 w14:paraId="3DE3D5BD">
      <w:pPr>
        <w:numPr>
          <w:ilvl w:val="0"/>
          <w:numId w:val="0"/>
        </w:numPr>
        <w:spacing w:line="432" w:lineRule="auto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 w14:paraId="6EFB2074">
      <w:pPr>
        <w:numPr>
          <w:ilvl w:val="0"/>
          <w:numId w:val="0"/>
        </w:numPr>
        <w:spacing w:line="432" w:lineRule="auto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 w14:paraId="4D440896">
      <w:pPr>
        <w:spacing w:line="336" w:lineRule="auto"/>
        <w:jc w:val="left"/>
        <w:rPr>
          <w:rFonts w:hint="eastAsia" w:ascii="宋体" w:hAnsi="宋体"/>
          <w:b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宋体" w:hAnsi="宋体"/>
          <w:b/>
          <w:sz w:val="22"/>
          <w:szCs w:val="22"/>
          <w:shd w:val="clear" w:color="auto" w:fill="auto"/>
          <w:lang w:val="en-US" w:eastAsia="zh-CN"/>
        </w:rPr>
        <w:t>附件4：</w:t>
      </w:r>
    </w:p>
    <w:p w14:paraId="2D5B50D3">
      <w:pPr>
        <w:spacing w:line="336" w:lineRule="auto"/>
        <w:jc w:val="center"/>
        <w:rPr>
          <w:rFonts w:hint="eastAsia" w:ascii="宋体" w:hAnsi="宋体"/>
          <w:b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shd w:val="clear" w:color="auto" w:fill="auto"/>
          <w:lang w:val="en-US" w:eastAsia="zh-CN"/>
        </w:rPr>
        <w:t>2024-2025学年“随时随地学外语•讲外语•用外语”活动先进班级推荐表</w:t>
      </w:r>
    </w:p>
    <w:tbl>
      <w:tblPr>
        <w:tblStyle w:val="4"/>
        <w:tblpPr w:leftFromText="180" w:rightFromText="180" w:vertAnchor="text" w:horzAnchor="page" w:tblpXSpec="center" w:tblpY="593"/>
        <w:tblOverlap w:val="never"/>
        <w:tblW w:w="92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6"/>
        <w:gridCol w:w="2568"/>
        <w:gridCol w:w="3907"/>
        <w:gridCol w:w="1775"/>
      </w:tblGrid>
      <w:tr w14:paraId="6A82C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1" w:hRule="atLeast"/>
          <w:jc w:val="center"/>
        </w:trPr>
        <w:tc>
          <w:tcPr>
            <w:tcW w:w="102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F355007">
            <w:pPr>
              <w:jc w:val="center"/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  <w:t>序号</w:t>
            </w:r>
          </w:p>
        </w:tc>
        <w:tc>
          <w:tcPr>
            <w:tcW w:w="2568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80BAA01">
            <w:pPr>
              <w:jc w:val="center"/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  <w:t>教学单位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F4431AF">
            <w:pPr>
              <w:jc w:val="center"/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  <w:t>班级</w:t>
            </w: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0F72C1">
            <w:pPr>
              <w:jc w:val="center"/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  <w:t>备注</w:t>
            </w:r>
          </w:p>
        </w:tc>
      </w:tr>
      <w:tr w14:paraId="272DC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5AC1D3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1</w:t>
            </w:r>
          </w:p>
        </w:tc>
        <w:tc>
          <w:tcPr>
            <w:tcW w:w="2568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EB2D33F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英语语言文化学院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B0A15E0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2E506E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173F3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FB5F0E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2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D5B7E54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70E1EE7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6BBEBD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4BB04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EF9351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3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F06E8E6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65FDD8C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47510B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02EEC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986A32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4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7B70838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C0B61BA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7823EF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5BF43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73993F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5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243F45F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E4B58F8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37B4A4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20EDD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D7BA29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6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31E2952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0083830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1E2E59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4B499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94B9ED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7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C692C62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F129D33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9C22DC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1D109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4DA1D0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8</w:t>
            </w:r>
          </w:p>
        </w:tc>
        <w:tc>
          <w:tcPr>
            <w:tcW w:w="2568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A974ED1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东方语言文化学院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71B1ED9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167FEF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586B7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FC5142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9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6C43798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FB7A545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0C1406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115AC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5B6381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10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16F34C2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23828C8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6E1842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3F0D3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BA23B7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11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4A32F3E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317954F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3354B2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301DA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EBF0E4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12</w:t>
            </w:r>
          </w:p>
        </w:tc>
        <w:tc>
          <w:tcPr>
            <w:tcW w:w="2568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5F92175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西方语言文化学院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6E6CF9D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C9CB19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0741B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2F94C4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13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A824A1F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EB192FF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815DA8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73C23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E255EA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14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EA2B709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90A3C96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B6AEEF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69835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B54EAC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15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7E6D1BA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1464783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6B51AA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2C2F6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AF54EA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16</w:t>
            </w:r>
          </w:p>
        </w:tc>
        <w:tc>
          <w:tcPr>
            <w:tcW w:w="2568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F88D855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文化与传播学院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F261629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978CB6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2033F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24FCAF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17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3995CF8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8C666B7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33258F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7EF8C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FE4ED4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18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3EEE5F9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6560DB5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459DC5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2C554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65B074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19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547005B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24277B6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F1EF26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60683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7ACC72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20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5B8AB03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0AE46F0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7ABA53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3755F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5E76CF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21</w:t>
            </w:r>
          </w:p>
        </w:tc>
        <w:tc>
          <w:tcPr>
            <w:tcW w:w="2568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2B5F09D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经济</w:t>
            </w: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学院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947DF00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7F59D4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3ECEC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B35447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22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A962117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63D8240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7374E3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57004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0B83D7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23</w:t>
            </w:r>
          </w:p>
        </w:tc>
        <w:tc>
          <w:tcPr>
            <w:tcW w:w="2568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D9EDB0D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管理学院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69D61CE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2E7A80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5F474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4A8028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24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9A50973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77DA6E8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64988F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5DA02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481D9B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25</w:t>
            </w:r>
          </w:p>
        </w:tc>
        <w:tc>
          <w:tcPr>
            <w:tcW w:w="2568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F4CB5AD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计算机</w:t>
            </w: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学院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37121C7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247476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654C4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980578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26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33D6712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96024FF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7634BD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1501B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594D68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27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2FF8F46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C91BD26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130278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37761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1F2FFF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28</w:t>
            </w:r>
            <w:bookmarkStart w:id="0" w:name="_GoBack"/>
            <w:bookmarkEnd w:id="0"/>
          </w:p>
        </w:tc>
        <w:tc>
          <w:tcPr>
            <w:tcW w:w="2568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4F39D44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教育学院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BE6B1C9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116432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5C27C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6B7561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29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E14E86D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7F448FD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9317E7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41645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1F918B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30</w:t>
            </w:r>
          </w:p>
        </w:tc>
        <w:tc>
          <w:tcPr>
            <w:tcW w:w="2568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097E874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艺术学院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382BDBE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28DA90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4CC5B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16E872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31</w:t>
            </w:r>
          </w:p>
        </w:tc>
        <w:tc>
          <w:tcPr>
            <w:tcW w:w="2568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C128713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国际学院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7DE8E0D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47DC6E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1E5A8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DC9529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32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49BF52B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4AD022D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7377BA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11DB8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86BBB3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33</w:t>
            </w:r>
          </w:p>
        </w:tc>
        <w:tc>
          <w:tcPr>
            <w:tcW w:w="2568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42DB450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大英部（创新班）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86F2493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B9F224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</w:tbl>
    <w:p w14:paraId="6FC51289">
      <w:pPr>
        <w:spacing w:line="336" w:lineRule="auto"/>
        <w:rPr>
          <w:rFonts w:hint="eastAsia" w:ascii="宋体" w:hAnsi="宋体"/>
          <w:b/>
          <w:sz w:val="22"/>
          <w:szCs w:val="22"/>
          <w:shd w:val="clear" w:color="auto" w:fill="auto"/>
          <w:lang w:val="en-US" w:eastAsia="zh-CN"/>
        </w:rPr>
      </w:pPr>
    </w:p>
    <w:p w14:paraId="1FA61491">
      <w:pPr>
        <w:spacing w:line="336" w:lineRule="auto"/>
        <w:rPr>
          <w:rFonts w:hint="eastAsia" w:ascii="宋体" w:hAnsi="宋体"/>
          <w:b/>
          <w:sz w:val="22"/>
          <w:szCs w:val="22"/>
          <w:shd w:val="clear" w:color="auto" w:fill="auto"/>
          <w:lang w:val="en-US" w:eastAsia="zh-CN"/>
        </w:rPr>
      </w:pPr>
    </w:p>
    <w:p w14:paraId="408FF2C6">
      <w:pPr>
        <w:spacing w:line="336" w:lineRule="auto"/>
        <w:jc w:val="both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 w14:paraId="6B526167">
      <w:pPr>
        <w:numPr>
          <w:ilvl w:val="0"/>
          <w:numId w:val="0"/>
        </w:numPr>
        <w:spacing w:line="432" w:lineRule="auto"/>
        <w:ind w:firstLine="241" w:firstLineChars="100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 w14:paraId="6C297D50">
      <w:pPr>
        <w:numPr>
          <w:ilvl w:val="0"/>
          <w:numId w:val="0"/>
        </w:numPr>
        <w:spacing w:line="432" w:lineRule="auto"/>
        <w:ind w:firstLine="241" w:firstLineChars="100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 w14:paraId="426E39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lZWJiNDQ2NjQ2ZjUzMDU2ODk4ZTRkZmFhNGI1M2QifQ=="/>
  </w:docVars>
  <w:rsids>
    <w:rsidRoot w:val="00F95943"/>
    <w:rsid w:val="00210D6B"/>
    <w:rsid w:val="002A762B"/>
    <w:rsid w:val="002F188E"/>
    <w:rsid w:val="003A005D"/>
    <w:rsid w:val="003A1D05"/>
    <w:rsid w:val="003C0416"/>
    <w:rsid w:val="00407109"/>
    <w:rsid w:val="00413991"/>
    <w:rsid w:val="00471263"/>
    <w:rsid w:val="005372BD"/>
    <w:rsid w:val="00653119"/>
    <w:rsid w:val="00721499"/>
    <w:rsid w:val="008460CC"/>
    <w:rsid w:val="00970405"/>
    <w:rsid w:val="00BB18A4"/>
    <w:rsid w:val="00C4769B"/>
    <w:rsid w:val="00D01E38"/>
    <w:rsid w:val="00DF0794"/>
    <w:rsid w:val="00E37769"/>
    <w:rsid w:val="00EC22BE"/>
    <w:rsid w:val="00F95943"/>
    <w:rsid w:val="018B3571"/>
    <w:rsid w:val="01FA5C09"/>
    <w:rsid w:val="03500CA6"/>
    <w:rsid w:val="03D24350"/>
    <w:rsid w:val="04ED064B"/>
    <w:rsid w:val="06414C8D"/>
    <w:rsid w:val="07B5484B"/>
    <w:rsid w:val="089B03BE"/>
    <w:rsid w:val="08A857D3"/>
    <w:rsid w:val="09477B1C"/>
    <w:rsid w:val="09A31615"/>
    <w:rsid w:val="09C002D0"/>
    <w:rsid w:val="0B412EB1"/>
    <w:rsid w:val="0E896610"/>
    <w:rsid w:val="0EA23E27"/>
    <w:rsid w:val="0F0071CD"/>
    <w:rsid w:val="0FA43BCD"/>
    <w:rsid w:val="0FDF21F1"/>
    <w:rsid w:val="10A44C4D"/>
    <w:rsid w:val="11943A19"/>
    <w:rsid w:val="11A436D1"/>
    <w:rsid w:val="120A0508"/>
    <w:rsid w:val="12415B32"/>
    <w:rsid w:val="12E56982"/>
    <w:rsid w:val="13476366"/>
    <w:rsid w:val="1587205C"/>
    <w:rsid w:val="15B00D4F"/>
    <w:rsid w:val="17A4103D"/>
    <w:rsid w:val="1921046B"/>
    <w:rsid w:val="1ADE2943"/>
    <w:rsid w:val="1B0B3EA5"/>
    <w:rsid w:val="1BCE032D"/>
    <w:rsid w:val="1CC86883"/>
    <w:rsid w:val="1D4B4E71"/>
    <w:rsid w:val="1E0106A1"/>
    <w:rsid w:val="1E65283C"/>
    <w:rsid w:val="1EDF295B"/>
    <w:rsid w:val="1F274302"/>
    <w:rsid w:val="1F760370"/>
    <w:rsid w:val="203C5B8B"/>
    <w:rsid w:val="20D8563C"/>
    <w:rsid w:val="20F8305C"/>
    <w:rsid w:val="21873BB9"/>
    <w:rsid w:val="21FF473A"/>
    <w:rsid w:val="22626120"/>
    <w:rsid w:val="227A79AB"/>
    <w:rsid w:val="22D764E4"/>
    <w:rsid w:val="23C2284B"/>
    <w:rsid w:val="23ED1797"/>
    <w:rsid w:val="2574583B"/>
    <w:rsid w:val="25761B03"/>
    <w:rsid w:val="2611323A"/>
    <w:rsid w:val="26D92385"/>
    <w:rsid w:val="26F4653D"/>
    <w:rsid w:val="276F73B9"/>
    <w:rsid w:val="27824B99"/>
    <w:rsid w:val="27F7726A"/>
    <w:rsid w:val="2A7714E9"/>
    <w:rsid w:val="2ACC4217"/>
    <w:rsid w:val="2B290EDA"/>
    <w:rsid w:val="2B361B54"/>
    <w:rsid w:val="2CA6145B"/>
    <w:rsid w:val="2CEA2950"/>
    <w:rsid w:val="2F015B34"/>
    <w:rsid w:val="30031246"/>
    <w:rsid w:val="3056223F"/>
    <w:rsid w:val="30D130B6"/>
    <w:rsid w:val="314D1797"/>
    <w:rsid w:val="31AD68E8"/>
    <w:rsid w:val="323E39E4"/>
    <w:rsid w:val="33517E55"/>
    <w:rsid w:val="336E520D"/>
    <w:rsid w:val="34364A21"/>
    <w:rsid w:val="353C420B"/>
    <w:rsid w:val="35496928"/>
    <w:rsid w:val="37043CB5"/>
    <w:rsid w:val="39372381"/>
    <w:rsid w:val="39B34CB8"/>
    <w:rsid w:val="39D0042B"/>
    <w:rsid w:val="39F63DCB"/>
    <w:rsid w:val="3A1C0AAF"/>
    <w:rsid w:val="3A4A73CA"/>
    <w:rsid w:val="3A8C2E8F"/>
    <w:rsid w:val="3B401D1B"/>
    <w:rsid w:val="3C9A75AA"/>
    <w:rsid w:val="3D974106"/>
    <w:rsid w:val="3EA0613C"/>
    <w:rsid w:val="3EDD68EA"/>
    <w:rsid w:val="406D7D0A"/>
    <w:rsid w:val="40E63EB2"/>
    <w:rsid w:val="413A3E9A"/>
    <w:rsid w:val="43BF73A5"/>
    <w:rsid w:val="43E7514C"/>
    <w:rsid w:val="43E75C8A"/>
    <w:rsid w:val="4441183E"/>
    <w:rsid w:val="44F64EF5"/>
    <w:rsid w:val="45012D7B"/>
    <w:rsid w:val="456659D6"/>
    <w:rsid w:val="458C4D3B"/>
    <w:rsid w:val="45DF65AF"/>
    <w:rsid w:val="46CD537F"/>
    <w:rsid w:val="47E56DFC"/>
    <w:rsid w:val="491D2BA4"/>
    <w:rsid w:val="49454CEB"/>
    <w:rsid w:val="49935641"/>
    <w:rsid w:val="49FE5ADB"/>
    <w:rsid w:val="4A3D6F65"/>
    <w:rsid w:val="4B9B2E7B"/>
    <w:rsid w:val="4BC415A4"/>
    <w:rsid w:val="4C2B5329"/>
    <w:rsid w:val="4CC669AF"/>
    <w:rsid w:val="4D5D520F"/>
    <w:rsid w:val="4DCD7C9F"/>
    <w:rsid w:val="4E8A5B90"/>
    <w:rsid w:val="4F9D78A5"/>
    <w:rsid w:val="4FD71DD1"/>
    <w:rsid w:val="52036385"/>
    <w:rsid w:val="52933CE3"/>
    <w:rsid w:val="52D8587E"/>
    <w:rsid w:val="549C03CB"/>
    <w:rsid w:val="54F36425"/>
    <w:rsid w:val="55CE2806"/>
    <w:rsid w:val="57DE6488"/>
    <w:rsid w:val="5B6132F9"/>
    <w:rsid w:val="5B685468"/>
    <w:rsid w:val="5C2A5419"/>
    <w:rsid w:val="5D4E247E"/>
    <w:rsid w:val="5E570F56"/>
    <w:rsid w:val="5F63191A"/>
    <w:rsid w:val="60606454"/>
    <w:rsid w:val="6109503A"/>
    <w:rsid w:val="6140459A"/>
    <w:rsid w:val="61786E9E"/>
    <w:rsid w:val="62100DA3"/>
    <w:rsid w:val="626328EF"/>
    <w:rsid w:val="633F23C8"/>
    <w:rsid w:val="635E671B"/>
    <w:rsid w:val="65272F2F"/>
    <w:rsid w:val="65D41985"/>
    <w:rsid w:val="66442670"/>
    <w:rsid w:val="685E1AC7"/>
    <w:rsid w:val="68A40453"/>
    <w:rsid w:val="6B8D3CBB"/>
    <w:rsid w:val="6BA37E39"/>
    <w:rsid w:val="6CDA634E"/>
    <w:rsid w:val="6D940381"/>
    <w:rsid w:val="6EC84757"/>
    <w:rsid w:val="6F5A5F34"/>
    <w:rsid w:val="6FB47BC3"/>
    <w:rsid w:val="6FC8667C"/>
    <w:rsid w:val="708B7819"/>
    <w:rsid w:val="728E539F"/>
    <w:rsid w:val="729F5682"/>
    <w:rsid w:val="733817AF"/>
    <w:rsid w:val="74041486"/>
    <w:rsid w:val="752A5FCA"/>
    <w:rsid w:val="754B57C9"/>
    <w:rsid w:val="75B63D1B"/>
    <w:rsid w:val="769B116D"/>
    <w:rsid w:val="77E96D3E"/>
    <w:rsid w:val="785E1CB7"/>
    <w:rsid w:val="78B631BD"/>
    <w:rsid w:val="78BB25AA"/>
    <w:rsid w:val="78C3231A"/>
    <w:rsid w:val="7AEF45AB"/>
    <w:rsid w:val="7B616E74"/>
    <w:rsid w:val="7C52568F"/>
    <w:rsid w:val="7D7F24B4"/>
    <w:rsid w:val="7DA10EAA"/>
    <w:rsid w:val="7F0148FD"/>
    <w:rsid w:val="7FB74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998</Words>
  <Characters>1075</Characters>
  <Lines>5</Lines>
  <Paragraphs>1</Paragraphs>
  <TotalTime>1</TotalTime>
  <ScaleCrop>false</ScaleCrop>
  <LinksUpToDate>false</LinksUpToDate>
  <CharactersWithSpaces>1078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Hitomi</cp:lastModifiedBy>
  <cp:lastPrinted>2023-05-25T01:08:00Z</cp:lastPrinted>
  <dcterms:modified xsi:type="dcterms:W3CDTF">2025-05-27T01:55:31Z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13B14ECBEBA7486A8E5A9DB59A1A06C7</vt:lpwstr>
  </property>
  <property fmtid="{D5CDD505-2E9C-101B-9397-08002B2CF9AE}" pid="4" name="KSOTemplateDocerSaveRecord">
    <vt:lpwstr>eyJoZGlkIjoiMDBlZWJiNDQ2NjQ2ZjUzMDU2ODk4ZTRkZmFhNGI1M2QiLCJ1c2VySWQiOiI3MTMwOTY0NTUifQ==</vt:lpwstr>
  </property>
</Properties>
</file>